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32B1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0"/>
        <w:rPr>
          <w:rFonts w:hint="eastAsia" w:ascii="仿宋_GB2312" w:hAnsi="仿宋_GB2312" w:eastAsia="仿宋_GB2312" w:cs="仿宋_GB2312"/>
          <w:b/>
          <w:bCs/>
          <w:sz w:val="36"/>
          <w:szCs w:val="36"/>
          <w:highlight w:val="none"/>
        </w:rPr>
      </w:pPr>
      <w:bookmarkStart w:id="0" w:name="_Toc18695"/>
      <w:bookmarkStart w:id="1" w:name="_Toc23195289"/>
      <w:bookmarkStart w:id="2" w:name="_Toc28886074"/>
      <w:bookmarkStart w:id="3" w:name="_Toc508878095"/>
      <w:bookmarkStart w:id="4" w:name="_Toc505159684"/>
      <w:r>
        <w:rPr>
          <w:rFonts w:hint="eastAsia" w:ascii="仿宋_GB2312" w:hAnsi="仿宋_GB2312" w:eastAsia="仿宋_GB2312" w:cs="仿宋_GB2312"/>
          <w:b/>
          <w:bCs/>
          <w:sz w:val="36"/>
          <w:szCs w:val="36"/>
          <w:highlight w:val="none"/>
        </w:rPr>
        <w:t xml:space="preserve"> 技术要求</w:t>
      </w:r>
      <w:bookmarkEnd w:id="0"/>
    </w:p>
    <w:p w14:paraId="021A72C1">
      <w:pPr>
        <w:keepNext w:val="0"/>
        <w:keepLines w:val="0"/>
        <w:pageBreakBefore w:val="0"/>
        <w:widowControl w:val="0"/>
        <w:kinsoku/>
        <w:overflowPunct w:val="0"/>
        <w:topLinePunct w:val="0"/>
        <w:autoSpaceDN/>
        <w:bidi w:val="0"/>
        <w:adjustRightInd w:val="0"/>
        <w:snapToGrid w:val="0"/>
        <w:spacing w:line="360" w:lineRule="auto"/>
        <w:outlineLvl w:val="1"/>
        <w:rPr>
          <w:rFonts w:hint="eastAsia" w:ascii="宋体" w:hAnsi="宋体" w:eastAsia="宋体" w:cs="宋体"/>
          <w:sz w:val="24"/>
          <w:szCs w:val="24"/>
        </w:rPr>
      </w:pPr>
      <w:bookmarkStart w:id="5" w:name="_Toc495440189"/>
      <w:bookmarkStart w:id="6" w:name="_Toc2175"/>
      <w:r>
        <w:rPr>
          <w:rFonts w:hint="eastAsia" w:ascii="宋体" w:hAnsi="宋体" w:eastAsia="宋体" w:cs="宋体"/>
          <w:sz w:val="24"/>
          <w:szCs w:val="24"/>
          <w:lang w:val="en-US" w:eastAsia="zh-CN"/>
        </w:rPr>
        <w:t>一、</w:t>
      </w:r>
      <w:r>
        <w:rPr>
          <w:rFonts w:hint="eastAsia" w:ascii="宋体" w:hAnsi="宋体" w:eastAsia="宋体" w:cs="宋体"/>
          <w:sz w:val="24"/>
          <w:szCs w:val="24"/>
        </w:rPr>
        <w:t>基坑监测要求</w:t>
      </w:r>
    </w:p>
    <w:p w14:paraId="4BB11594">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1.1主要监测项及暂定数量表</w:t>
      </w:r>
    </w:p>
    <w:tbl>
      <w:tblPr>
        <w:tblStyle w:val="4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835"/>
        <w:gridCol w:w="1701"/>
        <w:gridCol w:w="1701"/>
        <w:gridCol w:w="1701"/>
      </w:tblGrid>
      <w:tr w14:paraId="057B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395A2D6">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2835" w:type="dxa"/>
            <w:vAlign w:val="center"/>
          </w:tcPr>
          <w:p w14:paraId="7E94D4F0">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kern w:val="2"/>
                <w:sz w:val="24"/>
                <w:szCs w:val="24"/>
              </w:rPr>
            </w:pPr>
            <w:r>
              <w:rPr>
                <w:rFonts w:hint="eastAsia" w:ascii="宋体" w:hAnsi="宋体" w:eastAsia="宋体" w:cs="宋体"/>
                <w:kern w:val="2"/>
                <w:sz w:val="24"/>
                <w:szCs w:val="24"/>
              </w:rPr>
              <w:t>主要监测项</w:t>
            </w:r>
          </w:p>
        </w:tc>
        <w:tc>
          <w:tcPr>
            <w:tcW w:w="1701" w:type="dxa"/>
            <w:vAlign w:val="center"/>
          </w:tcPr>
          <w:p w14:paraId="2EB9FC4A">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暂定点数（个）</w:t>
            </w:r>
          </w:p>
        </w:tc>
        <w:tc>
          <w:tcPr>
            <w:tcW w:w="1701" w:type="dxa"/>
            <w:vAlign w:val="center"/>
          </w:tcPr>
          <w:p w14:paraId="30107B86">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单点位暂定次数（次）</w:t>
            </w:r>
          </w:p>
        </w:tc>
        <w:tc>
          <w:tcPr>
            <w:tcW w:w="1701" w:type="dxa"/>
            <w:vAlign w:val="center"/>
          </w:tcPr>
          <w:p w14:paraId="035F98F4">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暂定总次数（次）</w:t>
            </w:r>
          </w:p>
        </w:tc>
      </w:tr>
      <w:tr w14:paraId="5274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BA62FF8">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35" w:type="dxa"/>
            <w:vAlign w:val="center"/>
          </w:tcPr>
          <w:p w14:paraId="618B1AD4">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kern w:val="2"/>
                <w:sz w:val="24"/>
                <w:szCs w:val="24"/>
              </w:rPr>
            </w:pPr>
            <w:r>
              <w:rPr>
                <w:rFonts w:hint="eastAsia" w:ascii="宋体" w:hAnsi="宋体" w:eastAsia="宋体" w:cs="宋体"/>
                <w:kern w:val="2"/>
                <w:sz w:val="24"/>
                <w:szCs w:val="24"/>
              </w:rPr>
              <w:t>顶部水平位移</w:t>
            </w:r>
          </w:p>
        </w:tc>
        <w:tc>
          <w:tcPr>
            <w:tcW w:w="1701" w:type="dxa"/>
            <w:vAlign w:val="center"/>
          </w:tcPr>
          <w:p w14:paraId="309119D9">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17</w:t>
            </w:r>
          </w:p>
        </w:tc>
        <w:tc>
          <w:tcPr>
            <w:tcW w:w="1701" w:type="dxa"/>
            <w:vAlign w:val="center"/>
          </w:tcPr>
          <w:p w14:paraId="499963B6">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50</w:t>
            </w:r>
          </w:p>
        </w:tc>
        <w:tc>
          <w:tcPr>
            <w:tcW w:w="1701" w:type="dxa"/>
            <w:vAlign w:val="center"/>
          </w:tcPr>
          <w:p w14:paraId="1C931AB5">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850</w:t>
            </w:r>
          </w:p>
        </w:tc>
      </w:tr>
      <w:tr w14:paraId="76A6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0D022C5">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35" w:type="dxa"/>
            <w:vAlign w:val="center"/>
          </w:tcPr>
          <w:p w14:paraId="5BD2C086">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kern w:val="2"/>
                <w:sz w:val="24"/>
                <w:szCs w:val="24"/>
              </w:rPr>
            </w:pPr>
            <w:r>
              <w:rPr>
                <w:rFonts w:hint="eastAsia" w:ascii="宋体" w:hAnsi="宋体" w:eastAsia="宋体" w:cs="宋体"/>
                <w:kern w:val="2"/>
                <w:sz w:val="24"/>
                <w:szCs w:val="24"/>
              </w:rPr>
              <w:t>顶部</w:t>
            </w:r>
            <w:r>
              <w:rPr>
                <w:rFonts w:hint="eastAsia" w:ascii="宋体" w:hAnsi="宋体" w:eastAsia="宋体" w:cs="宋体"/>
                <w:kern w:val="2"/>
                <w:sz w:val="24"/>
                <w:szCs w:val="24"/>
                <w:lang w:val="en-US" w:eastAsia="zh-CN"/>
              </w:rPr>
              <w:t>垂直</w:t>
            </w:r>
            <w:r>
              <w:rPr>
                <w:rFonts w:hint="eastAsia" w:ascii="宋体" w:hAnsi="宋体" w:eastAsia="宋体" w:cs="宋体"/>
                <w:kern w:val="2"/>
                <w:sz w:val="24"/>
                <w:szCs w:val="24"/>
              </w:rPr>
              <w:t>位移</w:t>
            </w:r>
          </w:p>
        </w:tc>
        <w:tc>
          <w:tcPr>
            <w:tcW w:w="1701" w:type="dxa"/>
            <w:vAlign w:val="center"/>
          </w:tcPr>
          <w:p w14:paraId="3F30B02B">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17</w:t>
            </w:r>
          </w:p>
        </w:tc>
        <w:tc>
          <w:tcPr>
            <w:tcW w:w="1701" w:type="dxa"/>
            <w:vAlign w:val="center"/>
          </w:tcPr>
          <w:p w14:paraId="49E33325">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50</w:t>
            </w:r>
          </w:p>
        </w:tc>
        <w:tc>
          <w:tcPr>
            <w:tcW w:w="1701" w:type="dxa"/>
            <w:vAlign w:val="center"/>
          </w:tcPr>
          <w:p w14:paraId="2C2DDDE5">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850</w:t>
            </w:r>
          </w:p>
        </w:tc>
      </w:tr>
      <w:tr w14:paraId="0C7D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A3CCE65">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35" w:type="dxa"/>
            <w:vAlign w:val="center"/>
          </w:tcPr>
          <w:p w14:paraId="39C6F227">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周边道路管线沉降</w:t>
            </w:r>
          </w:p>
        </w:tc>
        <w:tc>
          <w:tcPr>
            <w:tcW w:w="1701" w:type="dxa"/>
            <w:vAlign w:val="center"/>
          </w:tcPr>
          <w:p w14:paraId="20448681">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20</w:t>
            </w:r>
          </w:p>
        </w:tc>
        <w:tc>
          <w:tcPr>
            <w:tcW w:w="1701" w:type="dxa"/>
            <w:vAlign w:val="center"/>
          </w:tcPr>
          <w:p w14:paraId="7FE8CF83">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50</w:t>
            </w:r>
          </w:p>
        </w:tc>
        <w:tc>
          <w:tcPr>
            <w:tcW w:w="1701" w:type="dxa"/>
            <w:vAlign w:val="center"/>
          </w:tcPr>
          <w:p w14:paraId="216DCDD3">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rPr>
            </w:pPr>
            <w:r>
              <w:rPr>
                <w:rFonts w:hint="eastAsia" w:ascii="宋体" w:hAnsi="宋体" w:eastAsia="宋体" w:cs="宋体"/>
                <w:kern w:val="2"/>
                <w:sz w:val="24"/>
                <w:szCs w:val="24"/>
                <w:lang w:val="en-US" w:eastAsia="zh-CN"/>
              </w:rPr>
              <w:t>1000</w:t>
            </w:r>
          </w:p>
        </w:tc>
      </w:tr>
      <w:tr w14:paraId="1694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610C72B">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35" w:type="dxa"/>
            <w:vAlign w:val="center"/>
          </w:tcPr>
          <w:p w14:paraId="5CB5AC7D">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深层水平位移</w:t>
            </w:r>
          </w:p>
        </w:tc>
        <w:tc>
          <w:tcPr>
            <w:tcW w:w="1701" w:type="dxa"/>
            <w:vAlign w:val="center"/>
          </w:tcPr>
          <w:p w14:paraId="40A71884">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7</w:t>
            </w:r>
          </w:p>
        </w:tc>
        <w:tc>
          <w:tcPr>
            <w:tcW w:w="1701" w:type="dxa"/>
            <w:vAlign w:val="center"/>
          </w:tcPr>
          <w:p w14:paraId="65646960">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50</w:t>
            </w:r>
          </w:p>
        </w:tc>
        <w:tc>
          <w:tcPr>
            <w:tcW w:w="1701" w:type="dxa"/>
            <w:vAlign w:val="center"/>
          </w:tcPr>
          <w:p w14:paraId="582B7784">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rPr>
            </w:pPr>
            <w:r>
              <w:rPr>
                <w:rFonts w:hint="eastAsia" w:ascii="宋体" w:hAnsi="宋体" w:eastAsia="宋体" w:cs="宋体"/>
                <w:kern w:val="2"/>
                <w:sz w:val="24"/>
                <w:szCs w:val="24"/>
                <w:lang w:val="en-US" w:eastAsia="zh-CN"/>
              </w:rPr>
              <w:t>350</w:t>
            </w:r>
          </w:p>
        </w:tc>
      </w:tr>
      <w:tr w14:paraId="7944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B9BBEBD">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35" w:type="dxa"/>
            <w:vAlign w:val="center"/>
          </w:tcPr>
          <w:p w14:paraId="50F1472E">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kern w:val="2"/>
                <w:sz w:val="24"/>
                <w:szCs w:val="24"/>
              </w:rPr>
            </w:pPr>
            <w:r>
              <w:rPr>
                <w:rFonts w:hint="eastAsia" w:ascii="宋体" w:hAnsi="宋体" w:eastAsia="宋体" w:cs="宋体"/>
                <w:kern w:val="2"/>
                <w:sz w:val="24"/>
                <w:szCs w:val="24"/>
              </w:rPr>
              <w:t>地下水</w:t>
            </w:r>
            <w:r>
              <w:rPr>
                <w:rFonts w:hint="eastAsia" w:ascii="宋体" w:hAnsi="宋体" w:eastAsia="宋体" w:cs="宋体"/>
                <w:kern w:val="2"/>
                <w:sz w:val="24"/>
                <w:szCs w:val="24"/>
                <w:lang w:val="en-US" w:eastAsia="zh-CN"/>
              </w:rPr>
              <w:t>位</w:t>
            </w:r>
            <w:r>
              <w:rPr>
                <w:rFonts w:hint="eastAsia" w:ascii="宋体" w:hAnsi="宋体" w:eastAsia="宋体" w:cs="宋体"/>
                <w:kern w:val="2"/>
                <w:sz w:val="24"/>
                <w:szCs w:val="24"/>
              </w:rPr>
              <w:t>观测</w:t>
            </w:r>
          </w:p>
        </w:tc>
        <w:tc>
          <w:tcPr>
            <w:tcW w:w="1701" w:type="dxa"/>
            <w:vAlign w:val="center"/>
          </w:tcPr>
          <w:p w14:paraId="5344868D">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10</w:t>
            </w:r>
          </w:p>
        </w:tc>
        <w:tc>
          <w:tcPr>
            <w:tcW w:w="1701" w:type="dxa"/>
            <w:vAlign w:val="center"/>
          </w:tcPr>
          <w:p w14:paraId="06EABD12">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50</w:t>
            </w:r>
          </w:p>
        </w:tc>
        <w:tc>
          <w:tcPr>
            <w:tcW w:w="1701" w:type="dxa"/>
            <w:vAlign w:val="center"/>
          </w:tcPr>
          <w:p w14:paraId="766419F4">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rPr>
            </w:pPr>
            <w:r>
              <w:rPr>
                <w:rFonts w:hint="eastAsia" w:ascii="宋体" w:hAnsi="宋体" w:eastAsia="宋体" w:cs="宋体"/>
                <w:kern w:val="2"/>
                <w:sz w:val="24"/>
                <w:szCs w:val="24"/>
                <w:lang w:val="en-US" w:eastAsia="zh-CN"/>
              </w:rPr>
              <w:t>1000</w:t>
            </w:r>
          </w:p>
        </w:tc>
      </w:tr>
    </w:tbl>
    <w:p w14:paraId="6D1E2D47">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lang w:eastAsia="zh-CN"/>
        </w:rPr>
      </w:pPr>
      <w:r>
        <w:rPr>
          <w:rFonts w:hint="eastAsia" w:ascii="宋体" w:hAnsi="宋体" w:eastAsia="宋体" w:cs="宋体"/>
          <w:kern w:val="2"/>
          <w:sz w:val="24"/>
          <w:szCs w:val="24"/>
        </w:rPr>
        <w:t>备注：上述监测点数量均为估计量，需实施时，监测单位据实确定，尤其是管线监测更应结合实际情况布置。</w:t>
      </w:r>
      <w:r>
        <w:rPr>
          <w:rFonts w:hint="eastAsia" w:ascii="宋体" w:hAnsi="宋体" w:eastAsia="宋体" w:cs="宋体"/>
          <w:kern w:val="2"/>
          <w:sz w:val="24"/>
          <w:szCs w:val="24"/>
          <w:lang w:val="en-US" w:eastAsia="zh-CN"/>
        </w:rPr>
        <w:t>乙</w:t>
      </w:r>
      <w:r>
        <w:rPr>
          <w:rFonts w:hint="eastAsia" w:ascii="宋体" w:hAnsi="宋体" w:eastAsia="宋体" w:cs="宋体"/>
          <w:kern w:val="2"/>
          <w:sz w:val="24"/>
          <w:szCs w:val="24"/>
        </w:rPr>
        <w:t>方应在具体实施方案中拟定具体位置，具体实施方案须经甲方复核确定</w:t>
      </w:r>
      <w:r>
        <w:rPr>
          <w:rFonts w:hint="eastAsia" w:ascii="宋体" w:hAnsi="宋体" w:eastAsia="宋体" w:cs="宋体"/>
          <w:kern w:val="2"/>
          <w:sz w:val="24"/>
          <w:szCs w:val="24"/>
          <w:lang w:val="en-US" w:eastAsia="zh-CN"/>
        </w:rPr>
        <w:t>。合同总价不因工程量变化而调增，若实际监测的工程量未达到暂定工程量，则根据实际检测工程量按实结算。</w:t>
      </w:r>
    </w:p>
    <w:p w14:paraId="39BBFCD9">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1.2技术要求：</w:t>
      </w:r>
    </w:p>
    <w:p w14:paraId="7BDFD4A4">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按国家、当地及行业规范进行监测。</w:t>
      </w:r>
    </w:p>
    <w:p w14:paraId="54ED802D">
      <w:pPr>
        <w:keepNext w:val="0"/>
        <w:keepLines w:val="0"/>
        <w:pageBreakBefore w:val="0"/>
        <w:widowControl w:val="0"/>
        <w:kinsoku/>
        <w:overflowPunct w:val="0"/>
        <w:topLinePunct w:val="0"/>
        <w:autoSpaceDN/>
        <w:bidi w:val="0"/>
        <w:adjustRightInd w:val="0"/>
        <w:snapToGrid w:val="0"/>
        <w:spacing w:line="360" w:lineRule="auto"/>
        <w:ind w:left="0" w:leftChars="0"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1.2.</w:t>
      </w:r>
      <w:r>
        <w:rPr>
          <w:rFonts w:hint="eastAsia" w:ascii="宋体" w:hAnsi="宋体" w:eastAsia="宋体" w:cs="宋体"/>
          <w:b/>
          <w:bCs/>
          <w:kern w:val="2"/>
          <w:sz w:val="24"/>
          <w:szCs w:val="24"/>
        </w:rPr>
        <w:t>1测点设置</w:t>
      </w:r>
    </w:p>
    <w:p w14:paraId="365B2E11">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rPr>
        <w:t>1）支护体系观察：主要通过日常巡视，对支护结构的成型质量、裂缝以及基坑有无漏水等现象进行巡视检查，必须每日专人进行。</w:t>
      </w:r>
    </w:p>
    <w:p w14:paraId="63031558">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（2）支护结构顶部竖向位移和水平位移：沿基坑周边，围护桩顶部，间距15～20m布设观测点，基坑周边中部、阳角处应布置监测点，监测点宜设置在冠梁上。</w:t>
      </w:r>
    </w:p>
    <w:p w14:paraId="0856C2A4">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（3）支护结构深层水平位移：监测点布置于支护桩内部，可布置于基坑周边的中心处及代表性部位，数量和间距视现场情况而定，但每边至少应设1个监测点。</w:t>
      </w:r>
    </w:p>
    <w:p w14:paraId="0375AFC0">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（4）支护结构内力：监测点应布置在受力、变形较大且有代表性的部位，如基坑阳角部位，监测点数量和水平间距视具体情况而定。</w:t>
      </w:r>
    </w:p>
    <w:p w14:paraId="54E405A2">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（5）地下水位：基坑外侧，沿基坑周边，间距20～50m布置监测点，每侧不宜少于1个。</w:t>
      </w:r>
    </w:p>
    <w:p w14:paraId="4AB8EA1F">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（6）周边建筑及周围环境：主要为邻近的建构（筑）物、道路、地下管线，监测点布设视现场实际情况而定。</w:t>
      </w:r>
    </w:p>
    <w:p w14:paraId="7C639793">
      <w:pPr>
        <w:keepNext w:val="0"/>
        <w:keepLines w:val="0"/>
        <w:pageBreakBefore w:val="0"/>
        <w:widowControl w:val="0"/>
        <w:kinsoku/>
        <w:overflowPunct w:val="0"/>
        <w:topLinePunct w:val="0"/>
        <w:autoSpaceDN/>
        <w:bidi w:val="0"/>
        <w:adjustRightInd w:val="0"/>
        <w:snapToGrid w:val="0"/>
        <w:spacing w:line="360" w:lineRule="auto"/>
        <w:ind w:left="0" w:leftChars="0"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1.2.</w:t>
      </w:r>
      <w:r>
        <w:rPr>
          <w:rFonts w:hint="eastAsia" w:ascii="宋体" w:hAnsi="宋体" w:eastAsia="宋体" w:cs="宋体"/>
          <w:b/>
          <w:bCs/>
          <w:kern w:val="2"/>
          <w:sz w:val="24"/>
          <w:szCs w:val="24"/>
        </w:rPr>
        <w:t>2监测周期与监测频率</w:t>
      </w:r>
    </w:p>
    <w:p w14:paraId="13BADEF0">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一</w:t>
      </w:r>
      <w:r>
        <w:rPr>
          <w:rFonts w:hint="eastAsia" w:ascii="宋体" w:hAnsi="宋体" w:eastAsia="宋体" w:cs="宋体"/>
          <w:kern w:val="2"/>
          <w:sz w:val="24"/>
          <w:szCs w:val="24"/>
        </w:rPr>
        <w:t>）监测周期：基坑土石方开挖至基坑回填至正负零。</w:t>
      </w:r>
    </w:p>
    <w:p w14:paraId="03074C79">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二</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监测频率：</w:t>
      </w:r>
    </w:p>
    <w:p w14:paraId="4A0D62AC">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（1）基坑开挖期间：开挖深度≤H/3时，1次/3天；H/3＜开挖深度≤2H/3时，1次/2天；2H/3＜开挖深度≤H时，1次/1天； （H为基坑深度）</w:t>
      </w:r>
    </w:p>
    <w:p w14:paraId="7E8F3A79">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（2）基坑底板浇筑后：1～7天时，1次1天；7～14天时，1次/3天；14～28天时，1次/5天；超过28天时，1次/7天； </w:t>
      </w:r>
    </w:p>
    <w:p w14:paraId="57C32A91">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（3）当基坑监测数据达到报警值、雨季及气候恶劣、监测结果异常、变化速率过大时，应提高监测频率；</w:t>
      </w:r>
    </w:p>
    <w:p w14:paraId="7544EB31">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（4）施工单位应制定应急预案，当基坑变形达到报警值或显现险情时，应立即报告设计单位，并应采取相应的应急措施；</w:t>
      </w:r>
    </w:p>
    <w:p w14:paraId="6FFFB3EE">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1.2.</w:t>
      </w:r>
      <w:r>
        <w:rPr>
          <w:rFonts w:hint="eastAsia" w:ascii="宋体" w:hAnsi="宋体" w:eastAsia="宋体" w:cs="宋体"/>
          <w:kern w:val="2"/>
          <w:sz w:val="24"/>
          <w:szCs w:val="24"/>
        </w:rPr>
        <w:t>3质量要求</w:t>
      </w:r>
    </w:p>
    <w:p w14:paraId="3FA6987D">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一</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投标人按招标人提供的设计图纸、施工要求进行合理布置监测点或观测点，其布点数量、位置及工作开展必须遵守相关法规及行业规范。</w:t>
      </w:r>
    </w:p>
    <w:p w14:paraId="7534C3F5">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二</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技术成果应包括当日报表、阶段性分析报告和总结报告。技术成果提供的内容应真实、准确、完整，并宜用文字闸述与绘制变化曲线或图形相结合的形式表达。技术成果应按时报送。</w:t>
      </w:r>
    </w:p>
    <w:p w14:paraId="044E71F6">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当日报表应包括下列内容：当日的天气情况和施工现场的工况；仪器监测项目各监测点的本次测试值、单次变化值、变化速率以及累计值等，必要时绘制有关曲线图；巡视检查的记录；对监测项目应有正常或异常的判断性结论；对达到或超过监测预警值的监测点应有预警标示，并有分析和建议；对巡视检查发现的异常情况应有详细描述，危险情况应有报警标示，并有分析和建议；其他相关说明。</w:t>
      </w:r>
    </w:p>
    <w:p w14:paraId="5076A9D5">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阶段性报告应包括下列内容：该监测阶段相应的工程、气象及周边环境概况；该监测阶段的监测项目及测点的布置图；各项监测数据的整理、统计及监测成果的过程曲线；各监测项目监测值的变化分析、评价及发展预测；相关的设计和施工建议。</w:t>
      </w:r>
    </w:p>
    <w:p w14:paraId="735E2472">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（3）总结报告应包括下列内容：工程概况；监测依据；监测项目；监测点布置；监测设备和监测方法；监测频率；监测预警值：各监测项目全过程的发展变化分析及整体评述；监测工作结论与建议。</w:t>
      </w:r>
    </w:p>
    <w:p w14:paraId="7DA921F8">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三</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监测项目应与基坑工程设计、施工方案相匹配；应针对监测对象的关键部位进行重点观测；各监测项目的选择应利于形成互为补充、验证的监测体系。</w:t>
      </w:r>
    </w:p>
    <w:p w14:paraId="5C893156">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四</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监测点的布设：</w:t>
      </w:r>
    </w:p>
    <w:p w14:paraId="16368F08">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（1）监测点的布置应能反映监测对象的实际状态及其变化趋势，监测点应布置在监测对象受力及变形关键点和特征点上，并应满足对监测对象的监控要求。</w:t>
      </w:r>
    </w:p>
    <w:p w14:paraId="4619D0C4">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（2）监测点的布置不应坊碍监测对象的正常工作，并且便于监测、易于保护。</w:t>
      </w:r>
    </w:p>
    <w:p w14:paraId="676AC525">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（3）不同监测项目的监测点宜布置在同一监测断面上。</w:t>
      </w:r>
    </w:p>
    <w:p w14:paraId="061A0366">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（4）监测标志应稳固可靠、标示清晰。</w:t>
      </w:r>
    </w:p>
    <w:p w14:paraId="2F010333">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五</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巡视，基坑工程施工和使用期内，每天均应由专人进行巡视检查。基坑工程巡视检查宜包括以下内容：</w:t>
      </w:r>
    </w:p>
    <w:p w14:paraId="54E47645">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（1）支护结构：支护结构成型质量；是否有裂缝； </w:t>
      </w:r>
    </w:p>
    <w:p w14:paraId="5B9A1E7D">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（2）措施：基坑有无涌土、流砂、管涌；面层有无开裂、脱落。</w:t>
      </w:r>
    </w:p>
    <w:p w14:paraId="4290910E">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施工状况：开挖后暴露的岩土体情况与岩土勘察报告有无差异；开挖分段长度、分层厚度及支撑（错杆）设置是否与设计要求一致；基坑侧壁开挖暴露面是否及时封闭；支撑、锚杆是否施工及时；边坡、侧壁及周边地表的截水、排水措施是否到位，坑边或坑底有无积水；基坑降水、回灌设施运转是否正常；基坑周边地面有无超载。</w:t>
      </w:r>
    </w:p>
    <w:p w14:paraId="3F19924A">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周边环境：周边管线有无破损、泄漏情况；围护墙后土体有无沉陷、裂缝及滑移现象；周边建筑有无新增裂缝出现；周边道路（地面）有无裂缝、沉陷；邻近基坑施工（堆载、开挖、降水或回灌、打桩等）变化情况。</w:t>
      </w:r>
    </w:p>
    <w:p w14:paraId="530DF04E">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（5）监测设施：基准点、监测点完好状况；监测元件的完好及保护情况；有无影响观测工作的障碍物。</w:t>
      </w:r>
    </w:p>
    <w:p w14:paraId="58C8CEDB">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（6）根据设计要求或当地经验确定的其他巡视检查内容。</w:t>
      </w:r>
    </w:p>
    <w:p w14:paraId="2AB47E54">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1.2.4</w:t>
      </w:r>
      <w:r>
        <w:rPr>
          <w:rFonts w:hint="eastAsia" w:ascii="宋体" w:hAnsi="宋体" w:eastAsia="宋体" w:cs="宋体"/>
          <w:kern w:val="2"/>
          <w:sz w:val="24"/>
          <w:szCs w:val="24"/>
        </w:rPr>
        <w:t>工程承包内容、成果要求</w:t>
      </w:r>
    </w:p>
    <w:p w14:paraId="695F1D07">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基坑检测过程中，投标人每周根据监测情况出具基坑检测周报，当出现下列情况之一时，必须立即进行危险报警，并应通知有关各方对基坑支护结构和周边环境保护对象采取应急措施，并第一时间出具监测数据：</w:t>
      </w:r>
    </w:p>
    <w:p w14:paraId="00E97E72">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（1）监测数据达到监测预警报警值的累计值；</w:t>
      </w:r>
    </w:p>
    <w:p w14:paraId="18A49A48">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（2）基坑支护结构或周边土体的位移值突然明显增大或基坑出现流沙、管涌、隆起、陷落或较严重的渗漏等；</w:t>
      </w:r>
    </w:p>
    <w:p w14:paraId="7DBF7ED7">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（3）基坑支护结构的支撑或锚杆体系出现过大变形、压屈、断裂、松弛或拔出现象；</w:t>
      </w:r>
    </w:p>
    <w:p w14:paraId="3671FCC6">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（4）周边建筑的结构部分、周边地面出现严重的突发裂缝或危害结构的变形裂缝、地下空洞、地面下陷情况；</w:t>
      </w:r>
    </w:p>
    <w:p w14:paraId="4DFB0122">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（5）周边管线变形突然明显增长或出现裂缝、泄露等；</w:t>
      </w:r>
    </w:p>
    <w:p w14:paraId="316760F3">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（6）冻土基坑经受冻融循环时，基坑周边土体温度显著上升，发生明显的冻融变形；</w:t>
      </w:r>
    </w:p>
    <w:p w14:paraId="65FF1DD2">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（7）出现基坑工程设计方提出的其他危险报警情况，或根据当地工程经验判断，出现其他必须进行危险报警的情况以及其他影响安全施工的情况。</w:t>
      </w:r>
    </w:p>
    <w:p w14:paraId="0727EF70">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1.2.5</w:t>
      </w:r>
      <w:r>
        <w:rPr>
          <w:rFonts w:hint="eastAsia" w:ascii="宋体" w:hAnsi="宋体" w:eastAsia="宋体" w:cs="宋体"/>
          <w:kern w:val="2"/>
          <w:sz w:val="24"/>
          <w:szCs w:val="24"/>
        </w:rPr>
        <w:t>监测工作结束后10个日历天内，投标人向招标人提交最终监测总结报告8份，并对其监测报告质量负责，报告须经甲方专业工程师及监理签字确认。</w:t>
      </w:r>
    </w:p>
    <w:p w14:paraId="22194F9D">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1.2.6</w:t>
      </w:r>
      <w:r>
        <w:rPr>
          <w:rFonts w:hint="eastAsia" w:ascii="宋体" w:hAnsi="宋体" w:eastAsia="宋体" w:cs="宋体"/>
          <w:kern w:val="2"/>
          <w:sz w:val="24"/>
          <w:szCs w:val="24"/>
        </w:rPr>
        <w:t>投标人的基坑监测工作及所出具的报告必须按行业相关政策、法规或规范要求，并确保满足项目的竣工备案资料的要求。若出现资料缺失问题，投标人将无条件补充符合备案要求的缺失资料。</w:t>
      </w:r>
    </w:p>
    <w:p w14:paraId="40100F27">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1.2.7</w:t>
      </w:r>
      <w:r>
        <w:rPr>
          <w:rFonts w:hint="eastAsia" w:ascii="宋体" w:hAnsi="宋体" w:eastAsia="宋体" w:cs="宋体"/>
          <w:kern w:val="2"/>
          <w:sz w:val="24"/>
          <w:szCs w:val="24"/>
        </w:rPr>
        <w:t>按照动态设计、信息化施工的方法进行，基坑支护结构施工应与现场监测相结合，根据现场监测反馈信息及时进行分析，达到动态设计和信息化施工的目的，监测质量满足《建筑基坑工程监测技术标准》GB50497-2019要求。</w:t>
      </w:r>
    </w:p>
    <w:bookmarkEnd w:id="5"/>
    <w:bookmarkEnd w:id="6"/>
    <w:p w14:paraId="43223232">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1.3工期要求：</w:t>
      </w:r>
    </w:p>
    <w:p w14:paraId="513544D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9"/>
        <w:rPr>
          <w:rFonts w:hint="eastAsia" w:ascii="宋体" w:hAnsi="宋体" w:eastAsia="宋体" w:cs="宋体"/>
          <w:kern w:val="2"/>
          <w:sz w:val="24"/>
          <w:szCs w:val="24"/>
        </w:rPr>
      </w:pPr>
      <w:r>
        <w:rPr>
          <w:rFonts w:hint="eastAsia" w:ascii="宋体" w:hAnsi="宋体" w:eastAsia="宋体" w:cs="宋体"/>
          <w:kern w:val="2"/>
          <w:sz w:val="24"/>
          <w:szCs w:val="24"/>
        </w:rPr>
        <w:t>工期要求：项目暂定为</w:t>
      </w:r>
      <w:r>
        <w:rPr>
          <w:rFonts w:hint="eastAsia" w:ascii="宋体" w:hAnsi="宋体" w:eastAsia="宋体" w:cs="宋体"/>
          <w:kern w:val="2"/>
          <w:sz w:val="24"/>
          <w:szCs w:val="24"/>
          <w:lang w:val="en-US" w:eastAsia="zh-CN"/>
        </w:rPr>
        <w:t>360</w:t>
      </w:r>
      <w:r>
        <w:rPr>
          <w:rFonts w:hint="eastAsia" w:ascii="宋体" w:hAnsi="宋体" w:eastAsia="宋体" w:cs="宋体"/>
          <w:kern w:val="2"/>
          <w:sz w:val="24"/>
          <w:szCs w:val="24"/>
        </w:rPr>
        <w:t>天，具体开工时间以甲方书面通知为准；出成果时间以甲方书面通知为准。</w:t>
      </w:r>
    </w:p>
    <w:p w14:paraId="12632D3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二、沉降观测要求</w:t>
      </w:r>
    </w:p>
    <w:p w14:paraId="0BEC6447">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2.1沉降观测暂定数量表</w:t>
      </w:r>
    </w:p>
    <w:tbl>
      <w:tblPr>
        <w:tblStyle w:val="40"/>
        <w:tblW w:w="8422" w:type="dxa"/>
        <w:jc w:val="center"/>
        <w:tblLayout w:type="fixed"/>
        <w:tblCellMar>
          <w:top w:w="0" w:type="dxa"/>
          <w:left w:w="57" w:type="dxa"/>
          <w:bottom w:w="0" w:type="dxa"/>
          <w:right w:w="57" w:type="dxa"/>
        </w:tblCellMar>
      </w:tblPr>
      <w:tblGrid>
        <w:gridCol w:w="908"/>
        <w:gridCol w:w="2695"/>
        <w:gridCol w:w="850"/>
        <w:gridCol w:w="1134"/>
        <w:gridCol w:w="1418"/>
        <w:gridCol w:w="1417"/>
      </w:tblGrid>
      <w:tr w14:paraId="111A11C7">
        <w:tblPrEx>
          <w:tblCellMar>
            <w:top w:w="0" w:type="dxa"/>
            <w:left w:w="57" w:type="dxa"/>
            <w:bottom w:w="0" w:type="dxa"/>
            <w:right w:w="57" w:type="dxa"/>
          </w:tblCellMar>
        </w:tblPrEx>
        <w:trPr>
          <w:trHeight w:val="68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AF65">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编号</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60A0">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楼号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B709">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层数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B719">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点数（点）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1A7A">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暂定总次数（次）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ABD6">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暂定总工作量（次）</w:t>
            </w:r>
          </w:p>
        </w:tc>
      </w:tr>
      <w:tr w14:paraId="64DF5038">
        <w:tblPrEx>
          <w:tblCellMar>
            <w:top w:w="0" w:type="dxa"/>
            <w:left w:w="57" w:type="dxa"/>
            <w:bottom w:w="0" w:type="dxa"/>
            <w:right w:w="57" w:type="dxa"/>
          </w:tblCellMar>
        </w:tblPrEx>
        <w:trPr>
          <w:trHeight w:val="68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BB63">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925E">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bidi="ar"/>
              </w:rPr>
              <w:t>综合科研大楼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EBF9">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A8C5">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bidi="ar"/>
              </w:rPr>
              <w:t>19</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494A">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bidi="ar"/>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60AC">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default" w:ascii="宋体" w:hAnsi="宋体" w:eastAsia="宋体" w:cs="宋体"/>
                <w:color w:val="000000"/>
                <w:sz w:val="24"/>
                <w:szCs w:val="24"/>
                <w:lang w:val="en-US" w:bidi="ar"/>
              </w:rPr>
            </w:pPr>
            <w:r>
              <w:rPr>
                <w:rFonts w:hint="eastAsia" w:ascii="宋体" w:hAnsi="宋体" w:eastAsia="宋体" w:cs="宋体"/>
                <w:color w:val="000000"/>
                <w:sz w:val="24"/>
                <w:szCs w:val="24"/>
                <w:lang w:val="en-US" w:eastAsia="zh-CN" w:bidi="ar"/>
              </w:rPr>
              <w:t>461</w:t>
            </w:r>
          </w:p>
        </w:tc>
      </w:tr>
    </w:tbl>
    <w:p w14:paraId="3AFAFF02">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2.2技术要求</w:t>
      </w:r>
    </w:p>
    <w:p w14:paraId="7FF7E229">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2.2.1本工程（</w:t>
      </w:r>
      <w:r>
        <w:rPr>
          <w:rFonts w:hint="eastAsia" w:ascii="宋体" w:hAnsi="宋体" w:eastAsia="宋体" w:cs="宋体"/>
          <w:kern w:val="2"/>
          <w:sz w:val="24"/>
          <w:szCs w:val="24"/>
          <w:lang w:eastAsia="zh-CN"/>
        </w:rPr>
        <w:t>南昌航空大学综合科研大楼项目</w:t>
      </w:r>
      <w:r>
        <w:rPr>
          <w:rFonts w:hint="eastAsia" w:ascii="宋体" w:hAnsi="宋体" w:eastAsia="宋体" w:cs="宋体"/>
          <w:kern w:val="2"/>
          <w:sz w:val="24"/>
          <w:szCs w:val="24"/>
        </w:rPr>
        <w:t>）应对整个建筑在施工及运营阶段中作沉降观测记录，乙方应在具体实施方案中拟定具体位置，具体实施方案须经甲方复核确定。</w:t>
      </w:r>
    </w:p>
    <w:p w14:paraId="7DE62B08">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2.2.2沉降观测每栋楼每三层观测一次，并在封顶、完成砌体、完成装修、竣工时各观测一次；封顶后第一年每季度监测一次，第二年每半年监测一次。</w:t>
      </w:r>
    </w:p>
    <w:p w14:paraId="6542CD6F">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2.2.3建筑运营阶段（既工程竣工验收后阶段）的观测次数不低于以下要求：在第一年观测2次，当沉降观测阶段最后100天（d）的沉降速率小于0.01～0.04mm/d时可认为建筑沉降已进入稳定阶段。</w:t>
      </w:r>
    </w:p>
    <w:p w14:paraId="4C5D17F2">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2.2.4测量单位应根据变形类型、测量目的、任务要求以及测区条件进行具体实施方案设计，报甲方、监理、总包、设计单位审核通过后及时实施，沉降观测点的布置应全面反映建筑及地基变形特征。</w:t>
      </w:r>
    </w:p>
    <w:p w14:paraId="4433113C">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2.2.5沉降观测资料按《建筑变形测量规程》JGJ 8-2016的相关要求进行整理并提供图表。如发现异常情况应立即通知甲方进行处理；</w:t>
      </w:r>
    </w:p>
    <w:p w14:paraId="1DF659BC">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2.2.6按甲方确认的实施方案进行观测，每周期观测结束后，应对观测数据和计算资料及时进行整理验算，计算各观测点的沉降量，填制观测成果表，提供完善的阶段性报告，并及时提交给甲方。</w:t>
      </w:r>
    </w:p>
    <w:p w14:paraId="739BFEA2">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2.2.7乙方的沉降观测工作及所出具的报告必须按行业相关政策、法规或规范要求，并确保满足项目的竣工备案资料的要求。若出现资料缺失问题，乙方将无条件补充符合备案要求的缺失资料。</w:t>
      </w:r>
    </w:p>
    <w:p w14:paraId="161F3048">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2.2.8质量要求：合格，测量成果报告须达到政府质量监督管理单位及本项目档案接收管理部门备案、归档要求。</w:t>
      </w:r>
    </w:p>
    <w:p w14:paraId="198C6070">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2.2.9沉降观测完工后，应至少提交下列成果：</w:t>
      </w:r>
    </w:p>
    <w:p w14:paraId="777E14F1">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沉降观测成果表；</w:t>
      </w:r>
    </w:p>
    <w:p w14:paraId="3704063A">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基准点，观测点与建筑物位置平面图；</w:t>
      </w:r>
    </w:p>
    <w:p w14:paraId="6CAA76AF">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“时间—沉降量”曲线图；</w:t>
      </w:r>
    </w:p>
    <w:p w14:paraId="4D662F9A">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沉降观测分析报告。</w:t>
      </w:r>
    </w:p>
    <w:p w14:paraId="643CF52B">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2.3工期要求</w:t>
      </w:r>
    </w:p>
    <w:p w14:paraId="119664BD">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收到甲方编制具体观测实施方案通知后，5个工作内完成方案编制并提交甲方确认；每次测量工作完成后2天内提交成果报告，施工阶段全部测量工作完成后20天内，提交测量成果总报告。</w:t>
      </w:r>
    </w:p>
    <w:p w14:paraId="2F1C2577">
      <w:pPr>
        <w:keepNext w:val="0"/>
        <w:keepLines w:val="0"/>
        <w:pageBreakBefore w:val="0"/>
        <w:widowControl w:val="0"/>
        <w:numPr>
          <w:ilvl w:val="0"/>
          <w:numId w:val="1"/>
        </w:numPr>
        <w:kinsoku/>
        <w:wordWrap/>
        <w:overflowPunct w:val="0"/>
        <w:topLinePunct w:val="0"/>
        <w:autoSpaceDE/>
        <w:autoSpaceDN/>
        <w:bidi w:val="0"/>
        <w:adjustRightInd w:val="0"/>
        <w:snapToGrid w:val="0"/>
        <w:spacing w:line="360" w:lineRule="auto"/>
        <w:ind w:left="0" w:leftChars="0" w:firstLine="480" w:firstLineChars="200"/>
        <w:textAlignment w:val="auto"/>
        <w:outlineLvl w:val="1"/>
        <w:rPr>
          <w:rFonts w:hint="eastAsia" w:ascii="宋体" w:hAnsi="宋体" w:eastAsia="宋体" w:cs="宋体"/>
          <w:kern w:val="2"/>
          <w:sz w:val="24"/>
          <w:szCs w:val="24"/>
        </w:rPr>
      </w:pPr>
      <w:r>
        <w:rPr>
          <w:rFonts w:hint="eastAsia" w:ascii="宋体" w:hAnsi="宋体" w:eastAsia="宋体" w:cs="宋体"/>
          <w:kern w:val="2"/>
          <w:sz w:val="24"/>
          <w:szCs w:val="24"/>
        </w:rPr>
        <w:t>招标文件附件</w:t>
      </w:r>
    </w:p>
    <w:p w14:paraId="7E571AF8">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2"/>
          <w:sz w:val="24"/>
          <w:szCs w:val="24"/>
          <w:lang w:val="en-US" w:eastAsia="zh-CN"/>
        </w:rPr>
      </w:pPr>
      <w:r>
        <w:rPr>
          <w:rFonts w:hint="eastAsia" w:ascii="宋体" w:hAnsi="宋体" w:eastAsia="宋体" w:cs="宋体"/>
          <w:kern w:val="2"/>
          <w:sz w:val="24"/>
          <w:szCs w:val="24"/>
          <w:lang w:val="en-US" w:eastAsia="zh-CN"/>
        </w:rPr>
        <w:t>南昌航空大学综合科研大楼</w:t>
      </w:r>
      <w:r>
        <w:rPr>
          <w:rFonts w:hint="eastAsia" w:ascii="宋体" w:hAnsi="宋体" w:eastAsia="宋体" w:cs="宋体"/>
          <w:kern w:val="2"/>
          <w:sz w:val="24"/>
          <w:szCs w:val="24"/>
        </w:rPr>
        <w:t>项目基坑支护施工图纸</w:t>
      </w:r>
      <w:r>
        <w:rPr>
          <w:rFonts w:hint="eastAsia" w:ascii="仿宋_GB2312" w:hAnsi="仿宋_GB2312" w:eastAsia="仿宋_GB2312" w:cs="仿宋_GB2312"/>
          <w:kern w:val="2"/>
          <w:sz w:val="24"/>
          <w:szCs w:val="24"/>
          <w:lang w:val="en-US" w:eastAsia="zh-CN"/>
        </w:rPr>
        <w:br w:type="page"/>
      </w:r>
      <w:bookmarkEnd w:id="1"/>
      <w:bookmarkEnd w:id="2"/>
      <w:bookmarkEnd w:id="3"/>
      <w:bookmarkEnd w:id="4"/>
    </w:p>
    <w:p w14:paraId="00078BD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outlineLvl w:val="0"/>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lang w:val="en-US" w:eastAsia="zh-CN"/>
        </w:rPr>
        <w:t xml:space="preserve">第四章 </w:t>
      </w:r>
      <w:r>
        <w:rPr>
          <w:rFonts w:hint="eastAsia" w:ascii="仿宋_GB2312" w:hAnsi="仿宋_GB2312" w:eastAsia="仿宋_GB2312" w:cs="仿宋_GB2312"/>
          <w:b/>
          <w:bCs/>
          <w:sz w:val="36"/>
          <w:szCs w:val="36"/>
          <w:highlight w:val="none"/>
        </w:rPr>
        <w:t>合同文本</w:t>
      </w:r>
    </w:p>
    <w:p w14:paraId="2E289210">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kern w:val="0"/>
          <w:sz w:val="52"/>
          <w:szCs w:val="52"/>
          <w:highlight w:val="none"/>
        </w:rPr>
      </w:pPr>
      <w:r>
        <w:rPr>
          <w:rFonts w:hint="eastAsia" w:ascii="仿宋_GB2312" w:hAnsi="仿宋_GB2312" w:eastAsia="仿宋_GB2312" w:cs="仿宋_GB2312"/>
          <w:b/>
          <w:kern w:val="0"/>
          <w:sz w:val="52"/>
          <w:szCs w:val="52"/>
          <w:highlight w:val="none"/>
          <w:lang w:eastAsia="zh-CN"/>
        </w:rPr>
        <w:t>南昌航空大学综合科研大楼项目基坑监测及沉降观测</w:t>
      </w:r>
      <w:r>
        <w:rPr>
          <w:rFonts w:hint="eastAsia" w:ascii="仿宋_GB2312" w:hAnsi="仿宋_GB2312" w:eastAsia="仿宋_GB2312" w:cs="仿宋_GB2312"/>
          <w:b/>
          <w:kern w:val="0"/>
          <w:sz w:val="52"/>
          <w:szCs w:val="52"/>
          <w:highlight w:val="none"/>
        </w:rPr>
        <w:t>合同</w:t>
      </w:r>
    </w:p>
    <w:p w14:paraId="3FC8686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kern w:val="0"/>
          <w:sz w:val="18"/>
          <w:szCs w:val="18"/>
          <w:highlight w:val="none"/>
        </w:rPr>
      </w:pPr>
    </w:p>
    <w:p w14:paraId="00661A9A">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kern w:val="0"/>
          <w:szCs w:val="22"/>
          <w:highlight w:val="none"/>
        </w:rPr>
      </w:pPr>
    </w:p>
    <w:p w14:paraId="78A9764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kern w:val="0"/>
          <w:szCs w:val="28"/>
          <w:highlight w:val="none"/>
        </w:rPr>
      </w:pPr>
    </w:p>
    <w:p w14:paraId="6C3F0A00">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rPr>
          <w:rFonts w:hint="eastAsia"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工  程 名  称：</w:t>
      </w:r>
      <w:r>
        <w:rPr>
          <w:rFonts w:hint="eastAsia" w:ascii="仿宋_GB2312" w:hAnsi="仿宋_GB2312" w:eastAsia="仿宋_GB2312" w:cs="仿宋_GB2312"/>
          <w:kern w:val="0"/>
          <w:sz w:val="32"/>
          <w:szCs w:val="32"/>
          <w:highlight w:val="none"/>
          <w:u w:val="single"/>
          <w:lang w:eastAsia="zh-CN"/>
        </w:rPr>
        <w:t>南昌航空大学综合科研大楼项目基坑监测及沉降观测</w:t>
      </w:r>
    </w:p>
    <w:p w14:paraId="1720608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rPr>
          <w:rFonts w:hint="eastAsia"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工  程 地  点：</w:t>
      </w:r>
      <w:r>
        <w:rPr>
          <w:rFonts w:hint="eastAsia" w:ascii="仿宋_GB2312" w:hAnsi="仿宋_GB2312" w:eastAsia="仿宋_GB2312" w:cs="仿宋_GB2312"/>
          <w:kern w:val="0"/>
          <w:sz w:val="32"/>
          <w:szCs w:val="32"/>
          <w:highlight w:val="none"/>
          <w:u w:val="single"/>
        </w:rPr>
        <w:t>南昌市红谷滩区</w:t>
      </w:r>
    </w:p>
    <w:p w14:paraId="6DF64B4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合  同 编  号：</w:t>
      </w:r>
      <w:r>
        <w:rPr>
          <w:rFonts w:hint="eastAsia" w:ascii="仿宋_GB2312" w:hAnsi="仿宋_GB2312" w:eastAsia="仿宋_GB2312" w:cs="仿宋_GB2312"/>
          <w:kern w:val="0"/>
          <w:sz w:val="32"/>
          <w:szCs w:val="32"/>
          <w:highlight w:val="none"/>
          <w:u w:val="single"/>
        </w:rPr>
        <w:t>NC-</w:t>
      </w:r>
      <w:r>
        <w:rPr>
          <w:rFonts w:hint="eastAsia" w:ascii="仿宋_GB2312" w:hAnsi="仿宋_GB2312" w:eastAsia="仿宋_GB2312" w:cs="仿宋_GB2312"/>
          <w:kern w:val="0"/>
          <w:sz w:val="32"/>
          <w:szCs w:val="32"/>
          <w:highlight w:val="none"/>
          <w:u w:val="single"/>
          <w:lang w:eastAsia="zh-CN"/>
        </w:rPr>
        <w:t>JLH802-E03</w:t>
      </w:r>
      <w:r>
        <w:rPr>
          <w:rFonts w:hint="eastAsia" w:ascii="仿宋_GB2312" w:hAnsi="仿宋_GB2312" w:eastAsia="仿宋_GB2312" w:cs="仿宋_GB2312"/>
          <w:kern w:val="0"/>
          <w:sz w:val="32"/>
          <w:szCs w:val="32"/>
          <w:highlight w:val="none"/>
          <w:u w:val="single"/>
        </w:rPr>
        <w:t>-</w:t>
      </w:r>
      <w:r>
        <w:rPr>
          <w:rFonts w:hint="eastAsia" w:ascii="仿宋_GB2312" w:hAnsi="仿宋_GB2312" w:eastAsia="仿宋_GB2312" w:cs="仿宋_GB2312"/>
          <w:kern w:val="0"/>
          <w:sz w:val="32"/>
          <w:szCs w:val="32"/>
          <w:highlight w:val="none"/>
          <w:u w:val="single"/>
          <w:lang w:eastAsia="zh-CN"/>
        </w:rPr>
        <w:t>SG-007</w:t>
      </w:r>
    </w:p>
    <w:p w14:paraId="67B6BF3E">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rPr>
          <w:rFonts w:hint="eastAsia" w:ascii="仿宋_GB2312" w:hAnsi="仿宋_GB2312" w:eastAsia="仿宋_GB2312" w:cs="仿宋_GB2312"/>
          <w:b/>
          <w:kern w:val="0"/>
          <w:sz w:val="32"/>
          <w:szCs w:val="32"/>
          <w:highlight w:val="none"/>
          <w:lang w:eastAsia="zh-CN"/>
        </w:rPr>
      </w:pPr>
      <w:r>
        <w:rPr>
          <w:rFonts w:hint="eastAsia" w:ascii="仿宋_GB2312" w:hAnsi="仿宋_GB2312" w:eastAsia="仿宋_GB2312" w:cs="仿宋_GB2312"/>
          <w:kern w:val="0"/>
          <w:sz w:val="32"/>
          <w:szCs w:val="32"/>
          <w:highlight w:val="none"/>
        </w:rPr>
        <w:t>发    包   人：</w:t>
      </w:r>
      <w:r>
        <w:rPr>
          <w:rFonts w:hint="eastAsia" w:ascii="仿宋_GB2312" w:hAnsi="仿宋_GB2312" w:eastAsia="仿宋_GB2312" w:cs="仿宋_GB2312"/>
          <w:kern w:val="0"/>
          <w:sz w:val="32"/>
          <w:szCs w:val="32"/>
          <w:highlight w:val="none"/>
          <w:u w:val="single"/>
          <w:lang w:eastAsia="zh-CN"/>
        </w:rPr>
        <w:t>南昌安居建设投资有限责任公司</w:t>
      </w:r>
    </w:p>
    <w:p w14:paraId="3E9E3BA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rPr>
          <w:rFonts w:hint="eastAsia"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承    包   人：</w:t>
      </w:r>
    </w:p>
    <w:p w14:paraId="4215CB25">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rPr>
          <w:rFonts w:hint="eastAsia" w:ascii="仿宋_GB2312" w:hAnsi="仿宋_GB2312" w:eastAsia="仿宋_GB2312" w:cs="仿宋_GB2312"/>
          <w:kern w:val="0"/>
          <w:sz w:val="32"/>
          <w:szCs w:val="32"/>
          <w:highlight w:val="none"/>
          <w:u w:val="single"/>
          <w:lang w:val="en-US" w:eastAsia="zh-CN"/>
        </w:rPr>
      </w:pPr>
      <w:r>
        <w:rPr>
          <w:rFonts w:hint="eastAsia" w:ascii="仿宋_GB2312" w:hAnsi="仿宋_GB2312" w:eastAsia="仿宋_GB2312" w:cs="仿宋_GB2312"/>
          <w:kern w:val="0"/>
          <w:sz w:val="32"/>
          <w:szCs w:val="32"/>
          <w:highlight w:val="none"/>
        </w:rPr>
        <w:t>签  订 日  期：</w:t>
      </w:r>
      <w:r>
        <w:rPr>
          <w:rFonts w:hint="eastAsia" w:ascii="仿宋_GB2312" w:hAnsi="仿宋_GB2312" w:eastAsia="仿宋_GB2312" w:cs="仿宋_GB2312"/>
          <w:kern w:val="0"/>
          <w:sz w:val="32"/>
          <w:szCs w:val="32"/>
          <w:highlight w:val="none"/>
          <w:u w:val="single"/>
        </w:rPr>
        <w:t xml:space="preserve">       年   月</w:t>
      </w:r>
      <w:r>
        <w:rPr>
          <w:rFonts w:hint="eastAsia" w:ascii="仿宋_GB2312" w:hAnsi="仿宋_GB2312" w:eastAsia="仿宋_GB2312" w:cs="仿宋_GB2312"/>
          <w:kern w:val="0"/>
          <w:sz w:val="32"/>
          <w:szCs w:val="32"/>
          <w:highlight w:val="none"/>
          <w:u w:val="single"/>
          <w:lang w:val="en-US" w:eastAsia="zh-CN"/>
        </w:rPr>
        <w:t xml:space="preserve"> </w:t>
      </w:r>
    </w:p>
    <w:p w14:paraId="45889CD1">
      <w:pP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br w:type="page"/>
      </w:r>
    </w:p>
    <w:p w14:paraId="60AFC42A">
      <w:pPr>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2" w:firstLineChars="200"/>
        <w:jc w:val="both"/>
        <w:textAlignment w:val="auto"/>
        <w:rPr>
          <w:rFonts w:hint="eastAsia" w:ascii="仿宋_GB2312" w:hAnsi="仿宋_GB2312" w:eastAsia="仿宋_GB2312" w:cs="仿宋_GB2312"/>
          <w:b/>
          <w:bCs/>
          <w:color w:val="000000"/>
          <w:kern w:val="0"/>
          <w:sz w:val="24"/>
          <w:szCs w:val="24"/>
          <w:u w:val="single"/>
          <w:lang w:val="en-US" w:eastAsia="zh-CN" w:bidi="ar-SA"/>
        </w:rPr>
      </w:pPr>
      <w:r>
        <w:rPr>
          <w:rFonts w:hint="eastAsia" w:ascii="仿宋_GB2312" w:hAnsi="仿宋_GB2312" w:eastAsia="仿宋_GB2312" w:cs="仿宋_GB2312"/>
          <w:b/>
          <w:bCs/>
          <w:color w:val="000000"/>
          <w:kern w:val="0"/>
          <w:sz w:val="24"/>
          <w:szCs w:val="24"/>
          <w:lang w:val="en-US" w:eastAsia="zh-CN" w:bidi="ar-SA"/>
        </w:rPr>
        <w:t>发包方（甲方）：</w:t>
      </w:r>
    </w:p>
    <w:p w14:paraId="5FC73EAB">
      <w:pPr>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2" w:firstLineChars="200"/>
        <w:jc w:val="both"/>
        <w:textAlignment w:val="auto"/>
        <w:rPr>
          <w:rFonts w:hint="eastAsia" w:ascii="仿宋_GB2312" w:hAnsi="仿宋_GB2312" w:eastAsia="仿宋_GB2312" w:cs="仿宋_GB2312"/>
          <w:b/>
          <w:bCs/>
          <w:color w:val="000000"/>
          <w:kern w:val="0"/>
          <w:sz w:val="24"/>
          <w:szCs w:val="24"/>
          <w:u w:val="single"/>
          <w:lang w:val="en-US" w:eastAsia="zh-CN" w:bidi="ar-SA"/>
        </w:rPr>
      </w:pPr>
      <w:r>
        <w:rPr>
          <w:rFonts w:hint="eastAsia" w:ascii="仿宋_GB2312" w:hAnsi="仿宋_GB2312" w:eastAsia="仿宋_GB2312" w:cs="仿宋_GB2312"/>
          <w:b/>
          <w:bCs/>
          <w:color w:val="000000"/>
          <w:kern w:val="0"/>
          <w:sz w:val="24"/>
          <w:szCs w:val="24"/>
          <w:lang w:val="en-US" w:eastAsia="zh-CN" w:bidi="ar-SA"/>
        </w:rPr>
        <w:t>承包方（乙方）：</w:t>
      </w:r>
    </w:p>
    <w:p w14:paraId="553E866E">
      <w:pPr>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甲方与乙方依照《中华人民共和国民法典》及《中华人民共和国测绘法》，经友好协商，就本项工程施工有关事宜达成如下协议：</w:t>
      </w:r>
    </w:p>
    <w:p w14:paraId="775DE82A">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360" w:lineRule="auto"/>
        <w:ind w:left="0" w:leftChars="0" w:firstLine="482" w:firstLineChars="200"/>
        <w:jc w:val="both"/>
        <w:textAlignment w:val="auto"/>
        <w:outlineLvl w:val="1"/>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第1条 工程概况</w:t>
      </w:r>
    </w:p>
    <w:p w14:paraId="3C4C317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1.工程名称：</w:t>
      </w:r>
      <w:r>
        <w:rPr>
          <w:rFonts w:hint="eastAsia" w:ascii="仿宋_GB2312" w:hAnsi="仿宋_GB2312" w:eastAsia="仿宋_GB2312" w:cs="仿宋_GB2312"/>
          <w:color w:val="000000"/>
          <w:kern w:val="0"/>
          <w:sz w:val="24"/>
          <w:szCs w:val="24"/>
          <w:lang w:eastAsia="zh-CN"/>
        </w:rPr>
        <w:t>南昌航空大学综合科研大楼项目</w:t>
      </w:r>
      <w:r>
        <w:rPr>
          <w:rFonts w:hint="eastAsia" w:ascii="仿宋_GB2312" w:hAnsi="仿宋_GB2312" w:eastAsia="仿宋_GB2312" w:cs="仿宋_GB2312"/>
          <w:color w:val="000000"/>
          <w:kern w:val="0"/>
          <w:sz w:val="24"/>
          <w:szCs w:val="24"/>
        </w:rPr>
        <w:t>基坑监测及沉降观测。</w:t>
      </w:r>
    </w:p>
    <w:p w14:paraId="3A078C3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2.项目地点：</w:t>
      </w:r>
      <w:r>
        <w:rPr>
          <w:rFonts w:hint="eastAsia" w:ascii="仿宋_GB2312" w:hAnsi="仿宋_GB2312" w:eastAsia="仿宋_GB2312" w:cs="仿宋_GB2312"/>
          <w:color w:val="000000"/>
          <w:kern w:val="0"/>
          <w:sz w:val="24"/>
          <w:szCs w:val="24"/>
          <w:lang w:val="en-US" w:eastAsia="zh-CN"/>
        </w:rPr>
        <w:t>南昌市丰和南大道696号南昌航空大学前湖校区内</w:t>
      </w:r>
      <w:r>
        <w:rPr>
          <w:rFonts w:hint="eastAsia" w:ascii="仿宋_GB2312" w:hAnsi="仿宋_GB2312" w:eastAsia="仿宋_GB2312" w:cs="仿宋_GB2312"/>
          <w:color w:val="000000"/>
          <w:kern w:val="0"/>
          <w:sz w:val="24"/>
          <w:szCs w:val="24"/>
          <w:lang w:eastAsia="zh-CN"/>
        </w:rPr>
        <w:t>。</w:t>
      </w:r>
    </w:p>
    <w:p w14:paraId="4E14E3B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3.项目概况：</w:t>
      </w:r>
      <w:r>
        <w:rPr>
          <w:rFonts w:hint="eastAsia"/>
          <w:color w:val="000000"/>
          <w:lang w:val="en-US" w:eastAsia="zh-CN"/>
        </w:rPr>
        <w:t>综</w:t>
      </w:r>
      <w:r>
        <w:rPr>
          <w:rFonts w:hint="eastAsia" w:ascii="仿宋_GB2312" w:hAnsi="仿宋_GB2312" w:eastAsia="仿宋_GB2312" w:cs="仿宋_GB2312"/>
          <w:color w:val="000000"/>
          <w:kern w:val="0"/>
          <w:sz w:val="24"/>
          <w:szCs w:val="24"/>
          <w:lang w:val="en-US" w:eastAsia="zh-CN"/>
        </w:rPr>
        <w:t>合科研大楼总用地面积为13500.18平方米，总建筑面积30203.48平方米，其中地上建筑面积25944.25平方米，地下建筑面积4259.23平方米。</w:t>
      </w:r>
    </w:p>
    <w:p w14:paraId="6AA0DCB9">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360" w:lineRule="auto"/>
        <w:ind w:left="0" w:leftChars="0" w:firstLine="482" w:firstLineChars="200"/>
        <w:jc w:val="both"/>
        <w:textAlignment w:val="auto"/>
        <w:outlineLvl w:val="1"/>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第2条 工期</w:t>
      </w:r>
    </w:p>
    <w:p w14:paraId="6D521CB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本项目施工工期</w:t>
      </w:r>
      <w:r>
        <w:rPr>
          <w:rFonts w:hint="default" w:ascii="仿宋_GB2312" w:hAnsi="仿宋_GB2312" w:eastAsia="仿宋_GB2312" w:cs="仿宋_GB2312"/>
          <w:color w:val="000000"/>
          <w:kern w:val="0"/>
          <w:sz w:val="24"/>
          <w:szCs w:val="24"/>
          <w:lang w:val="en-US" w:eastAsia="zh-CN"/>
        </w:rPr>
        <w:t>暂定为</w:t>
      </w:r>
      <w:r>
        <w:rPr>
          <w:rFonts w:hint="eastAsia" w:ascii="仿宋_GB2312" w:hAnsi="仿宋_GB2312" w:eastAsia="仿宋_GB2312" w:cs="仿宋_GB2312"/>
          <w:color w:val="000000"/>
          <w:kern w:val="0"/>
          <w:sz w:val="24"/>
          <w:szCs w:val="24"/>
          <w:u w:val="single"/>
          <w:lang w:val="en-US" w:eastAsia="zh-CN"/>
        </w:rPr>
        <w:t xml:space="preserve">      </w:t>
      </w:r>
      <w:r>
        <w:rPr>
          <w:rFonts w:hint="default" w:ascii="仿宋_GB2312" w:hAnsi="仿宋_GB2312" w:eastAsia="仿宋_GB2312" w:cs="仿宋_GB2312"/>
          <w:color w:val="000000"/>
          <w:kern w:val="0"/>
          <w:sz w:val="24"/>
          <w:szCs w:val="24"/>
          <w:lang w:val="en-US" w:eastAsia="zh-CN"/>
        </w:rPr>
        <w:t>天，具体开工时间以甲方书面通知为准；出成果时间以甲方书面通知为准。</w:t>
      </w:r>
    </w:p>
    <w:p w14:paraId="16784A8A">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收到甲方编制具体观测实施方案通知后，5个工作内完成方案编制并提交甲方确认；每次测量工作完成后2天内提交成果报告，施工阶段全部测量工作完成后20天内，提交测量成果总报告。</w:t>
      </w:r>
    </w:p>
    <w:p w14:paraId="5AF6F31B">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360" w:lineRule="auto"/>
        <w:ind w:left="0" w:leftChars="0" w:firstLine="482" w:firstLineChars="200"/>
        <w:jc w:val="both"/>
        <w:textAlignment w:val="auto"/>
        <w:outlineLvl w:val="1"/>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第3条 合同价格</w:t>
      </w:r>
    </w:p>
    <w:p w14:paraId="2C57CB5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r>
        <w:rPr>
          <w:rFonts w:hint="default" w:ascii="仿宋_GB2312" w:hAnsi="仿宋_GB2312" w:eastAsia="仿宋_GB2312" w:cs="仿宋_GB2312"/>
          <w:color w:val="000000"/>
          <w:kern w:val="0"/>
          <w:sz w:val="24"/>
          <w:szCs w:val="24"/>
          <w:lang w:val="en-US" w:eastAsia="zh-CN"/>
        </w:rPr>
        <w:t>本合同为综合单价包干，合同暂定总价：暂估含税总价为人民币</w:t>
      </w:r>
      <w:r>
        <w:rPr>
          <w:rFonts w:hint="eastAsia" w:ascii="仿宋_GB2312" w:hAnsi="仿宋_GB2312" w:eastAsia="仿宋_GB2312" w:cs="仿宋_GB2312"/>
          <w:color w:val="000000"/>
          <w:kern w:val="0"/>
          <w:sz w:val="24"/>
          <w:szCs w:val="24"/>
          <w:u w:val="single"/>
          <w:lang w:val="en-US" w:eastAsia="zh-CN"/>
        </w:rPr>
        <w:t xml:space="preserve">    </w:t>
      </w:r>
      <w:r>
        <w:rPr>
          <w:rFonts w:hint="default" w:ascii="仿宋_GB2312" w:hAnsi="仿宋_GB2312" w:eastAsia="仿宋_GB2312" w:cs="仿宋_GB2312"/>
          <w:color w:val="000000"/>
          <w:kern w:val="0"/>
          <w:sz w:val="24"/>
          <w:szCs w:val="24"/>
          <w:lang w:val="en-US" w:eastAsia="zh-CN"/>
        </w:rPr>
        <w:t>元（大写：</w:t>
      </w:r>
      <w:r>
        <w:rPr>
          <w:rFonts w:hint="eastAsia" w:ascii="仿宋_GB2312" w:hAnsi="仿宋_GB2312" w:eastAsia="仿宋_GB2312" w:cs="仿宋_GB2312"/>
          <w:color w:val="000000"/>
          <w:kern w:val="0"/>
          <w:sz w:val="24"/>
          <w:szCs w:val="24"/>
          <w:u w:val="single"/>
          <w:lang w:val="en-US" w:eastAsia="zh-CN"/>
        </w:rPr>
        <w:t xml:space="preserve">    </w:t>
      </w:r>
      <w:r>
        <w:rPr>
          <w:rFonts w:hint="default" w:ascii="仿宋_GB2312" w:hAnsi="仿宋_GB2312" w:eastAsia="仿宋_GB2312" w:cs="仿宋_GB2312"/>
          <w:color w:val="000000"/>
          <w:kern w:val="0"/>
          <w:sz w:val="24"/>
          <w:szCs w:val="24"/>
          <w:lang w:val="en-US" w:eastAsia="zh-CN"/>
        </w:rPr>
        <w:t>元），不含税总价为</w:t>
      </w:r>
      <w:r>
        <w:rPr>
          <w:rFonts w:hint="eastAsia" w:ascii="仿宋_GB2312" w:hAnsi="仿宋_GB2312" w:eastAsia="仿宋_GB2312" w:cs="仿宋_GB2312"/>
          <w:color w:val="000000"/>
          <w:kern w:val="0"/>
          <w:sz w:val="24"/>
          <w:szCs w:val="24"/>
          <w:u w:val="single"/>
          <w:lang w:val="en-US" w:eastAsia="zh-CN"/>
        </w:rPr>
        <w:t xml:space="preserve">    </w:t>
      </w:r>
      <w:r>
        <w:rPr>
          <w:rFonts w:hint="default" w:ascii="仿宋_GB2312" w:hAnsi="仿宋_GB2312" w:eastAsia="仿宋_GB2312" w:cs="仿宋_GB2312"/>
          <w:color w:val="000000"/>
          <w:kern w:val="0"/>
          <w:sz w:val="24"/>
          <w:szCs w:val="24"/>
          <w:lang w:val="en-US" w:eastAsia="zh-CN"/>
        </w:rPr>
        <w:t>元（大写</w:t>
      </w:r>
      <w:r>
        <w:rPr>
          <w:rFonts w:hint="eastAsia" w:ascii="仿宋_GB2312" w:hAnsi="仿宋_GB2312" w:eastAsia="仿宋_GB2312" w:cs="仿宋_GB2312"/>
          <w:color w:val="000000"/>
          <w:kern w:val="0"/>
          <w:sz w:val="24"/>
          <w:szCs w:val="24"/>
          <w:u w:val="single"/>
          <w:lang w:val="en-US" w:eastAsia="zh-CN"/>
        </w:rPr>
        <w:t xml:space="preserve">    </w:t>
      </w:r>
      <w:r>
        <w:rPr>
          <w:rFonts w:hint="default" w:ascii="仿宋_GB2312" w:hAnsi="仿宋_GB2312" w:eastAsia="仿宋_GB2312" w:cs="仿宋_GB2312"/>
          <w:color w:val="000000"/>
          <w:kern w:val="0"/>
          <w:sz w:val="24"/>
          <w:szCs w:val="24"/>
          <w:lang w:val="en-US" w:eastAsia="zh-CN"/>
        </w:rPr>
        <w:t>），税率为</w:t>
      </w:r>
      <w:r>
        <w:rPr>
          <w:rFonts w:hint="eastAsia" w:ascii="仿宋_GB2312" w:hAnsi="仿宋_GB2312" w:eastAsia="仿宋_GB2312" w:cs="仿宋_GB2312"/>
          <w:color w:val="000000"/>
          <w:kern w:val="0"/>
          <w:sz w:val="24"/>
          <w:szCs w:val="24"/>
          <w:u w:val="single"/>
          <w:lang w:val="en-US" w:eastAsia="zh-CN"/>
        </w:rPr>
        <w:t xml:space="preserve">    </w:t>
      </w:r>
      <w:r>
        <w:rPr>
          <w:rFonts w:hint="default" w:ascii="仿宋_GB2312" w:hAnsi="仿宋_GB2312" w:eastAsia="仿宋_GB2312" w:cs="仿宋_GB2312"/>
          <w:color w:val="000000"/>
          <w:kern w:val="0"/>
          <w:sz w:val="24"/>
          <w:szCs w:val="24"/>
          <w:lang w:val="en-US" w:eastAsia="zh-CN"/>
        </w:rPr>
        <w:t>% ，税额为人民币</w:t>
      </w:r>
      <w:r>
        <w:rPr>
          <w:rFonts w:hint="eastAsia" w:ascii="仿宋_GB2312" w:hAnsi="仿宋_GB2312" w:eastAsia="仿宋_GB2312" w:cs="仿宋_GB2312"/>
          <w:color w:val="000000"/>
          <w:kern w:val="0"/>
          <w:sz w:val="24"/>
          <w:szCs w:val="24"/>
          <w:u w:val="single"/>
          <w:lang w:val="en-US" w:eastAsia="zh-CN"/>
        </w:rPr>
        <w:t xml:space="preserve">    </w:t>
      </w:r>
      <w:r>
        <w:rPr>
          <w:rFonts w:hint="default" w:ascii="仿宋_GB2312" w:hAnsi="仿宋_GB2312" w:eastAsia="仿宋_GB2312" w:cs="仿宋_GB2312"/>
          <w:color w:val="000000"/>
          <w:kern w:val="0"/>
          <w:sz w:val="24"/>
          <w:szCs w:val="24"/>
          <w:lang w:val="en-US" w:eastAsia="zh-CN"/>
        </w:rPr>
        <w:t>元（大写：</w:t>
      </w:r>
      <w:r>
        <w:rPr>
          <w:rFonts w:hint="eastAsia" w:ascii="仿宋_GB2312" w:hAnsi="仿宋_GB2312" w:eastAsia="仿宋_GB2312" w:cs="仿宋_GB2312"/>
          <w:color w:val="000000"/>
          <w:kern w:val="0"/>
          <w:sz w:val="24"/>
          <w:szCs w:val="24"/>
          <w:u w:val="single"/>
          <w:lang w:val="en-US" w:eastAsia="zh-CN"/>
        </w:rPr>
        <w:t xml:space="preserve">    </w:t>
      </w:r>
      <w:r>
        <w:rPr>
          <w:rFonts w:hint="default" w:ascii="仿宋_GB2312" w:hAnsi="仿宋_GB2312" w:eastAsia="仿宋_GB2312" w:cs="仿宋_GB2312"/>
          <w:color w:val="000000"/>
          <w:kern w:val="0"/>
          <w:sz w:val="24"/>
          <w:szCs w:val="24"/>
          <w:lang w:val="en-US" w:eastAsia="zh-CN"/>
        </w:rPr>
        <w:t>）。合同工程量为暂定工程量，</w:t>
      </w:r>
      <w:bookmarkStart w:id="7" w:name="_GoBack"/>
      <w:bookmarkEnd w:id="7"/>
      <w:r>
        <w:rPr>
          <w:rFonts w:hint="eastAsia" w:ascii="宋体" w:hAnsi="宋体" w:eastAsia="宋体" w:cs="宋体"/>
          <w:kern w:val="2"/>
          <w:sz w:val="24"/>
          <w:szCs w:val="24"/>
        </w:rPr>
        <w:t>需实施时，监测单位据实确定，尤其是管线监测更应结合实际情况布置。</w:t>
      </w:r>
      <w:r>
        <w:rPr>
          <w:rFonts w:hint="eastAsia" w:ascii="宋体" w:hAnsi="宋体" w:eastAsia="宋体" w:cs="宋体"/>
          <w:kern w:val="2"/>
          <w:sz w:val="24"/>
          <w:szCs w:val="24"/>
          <w:lang w:val="en-US" w:eastAsia="zh-CN"/>
        </w:rPr>
        <w:t>乙</w:t>
      </w:r>
      <w:r>
        <w:rPr>
          <w:rFonts w:hint="eastAsia" w:ascii="宋体" w:hAnsi="宋体" w:eastAsia="宋体" w:cs="宋体"/>
          <w:kern w:val="2"/>
          <w:sz w:val="24"/>
          <w:szCs w:val="24"/>
        </w:rPr>
        <w:t>方应在具体实施方案中拟定具体位置，具体实施方案须经甲方复核确定</w:t>
      </w:r>
      <w:r>
        <w:rPr>
          <w:rFonts w:hint="eastAsia" w:ascii="宋体" w:hAnsi="宋体" w:eastAsia="宋体" w:cs="宋体"/>
          <w:kern w:val="2"/>
          <w:sz w:val="24"/>
          <w:szCs w:val="24"/>
          <w:lang w:val="en-US" w:eastAsia="zh-CN"/>
        </w:rPr>
        <w:t>。合同总价不因工程量变化而调增，若实际监测的工程量未达到暂定工程量，则根据实际检测工程量按实结算</w:t>
      </w:r>
      <w:r>
        <w:rPr>
          <w:rFonts w:hint="default" w:ascii="仿宋_GB2312" w:hAnsi="仿宋_GB2312" w:eastAsia="仿宋_GB2312" w:cs="仿宋_GB2312"/>
          <w:color w:val="000000"/>
          <w:kern w:val="0"/>
          <w:sz w:val="24"/>
          <w:szCs w:val="24"/>
          <w:lang w:val="en-US" w:eastAsia="zh-CN"/>
        </w:rPr>
        <w:t>。乙方应向甲方提供合法合规的增值税专用发票。如合同有效期内，任何因包括但不限于法律、行政法规、政府政策修订或变化导致上述增值税税率调整的，除不含税价格保持不变外，增值税税率、税额及含税价格要做相应调整。</w:t>
      </w:r>
    </w:p>
    <w:p w14:paraId="3095CBB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承包方式：本合同为综合单价包干，本合同价款包含合同范围内所有工作内容的所需费用，包干即包括不限于基坑监测、沉降观测方案的编制及报审，方案评审，布点与监测的所有费用，包括机械、人员、材料、运输、设备（含监测设备）、进出场（含多次）、安全、办公、临设、管理、税费、观测成果资料、符合本项目档案接收管理部门备案资料要求等为完成该项目监测的一切直接或间接费用，不因任何情况调整。同时亦已综合考虑合同期间货币贬值、汇率变化、工作条件恶化和自然风险等因素在内。</w:t>
      </w:r>
    </w:p>
    <w:p w14:paraId="60CEE64C">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360" w:lineRule="auto"/>
        <w:ind w:left="0" w:leftChars="0" w:firstLine="482" w:firstLineChars="200"/>
        <w:jc w:val="both"/>
        <w:textAlignment w:val="auto"/>
        <w:outlineLvl w:val="1"/>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第4条 工程进度款支付</w:t>
      </w:r>
    </w:p>
    <w:p w14:paraId="38F96479">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360" w:lineRule="auto"/>
        <w:ind w:leftChars="0" w:firstLine="480" w:firstLineChars="200"/>
        <w:jc w:val="both"/>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1.基坑土方开挖完成，完成监测内容，并提交合格的监测成果报告时，支付至合同暂定总价的50%。</w:t>
      </w:r>
    </w:p>
    <w:p w14:paraId="0F35A8B0">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360" w:lineRule="auto"/>
        <w:ind w:leftChars="0" w:firstLine="480" w:firstLineChars="200"/>
        <w:jc w:val="both"/>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2.基坑完成回填，所有基坑监测工作全部完成，且完成全部工作内容成果资料，支付至合同结算总价的80%。</w:t>
      </w:r>
    </w:p>
    <w:p w14:paraId="656E363D">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360" w:lineRule="auto"/>
        <w:ind w:leftChars="0" w:firstLine="480" w:firstLineChars="200"/>
        <w:jc w:val="both"/>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3.沉降观测达到技术要求进入稳定阶段，且完成全部工作内容成果资料，支付至合同结算总价的100%。</w:t>
      </w:r>
    </w:p>
    <w:p w14:paraId="638B0CF6">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360" w:lineRule="auto"/>
        <w:ind w:leftChars="0" w:firstLine="480" w:firstLineChars="200"/>
        <w:jc w:val="both"/>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4.每次付款前，乙方及时提交与节点符合的工程付款资料给甲方确认并开具同等数额的增值税专用发票，甲方在发票验证符合规定、审核付款资料合格后支付相应款项，否则甲方有权拒绝支付，由此延误责任由乙方负责。</w:t>
      </w:r>
    </w:p>
    <w:p w14:paraId="23278469">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甲方增值税专用发票开票信息为：</w:t>
      </w:r>
    </w:p>
    <w:tbl>
      <w:tblPr>
        <w:tblStyle w:val="40"/>
        <w:tblW w:w="0" w:type="auto"/>
        <w:jc w:val="center"/>
        <w:tblLayout w:type="fixed"/>
        <w:tblCellMar>
          <w:top w:w="0" w:type="dxa"/>
          <w:left w:w="57" w:type="dxa"/>
          <w:bottom w:w="0" w:type="dxa"/>
          <w:right w:w="57" w:type="dxa"/>
        </w:tblCellMar>
      </w:tblPr>
      <w:tblGrid>
        <w:gridCol w:w="1984"/>
        <w:gridCol w:w="6803"/>
      </w:tblGrid>
      <w:tr w14:paraId="495DF3DB">
        <w:tblPrEx>
          <w:tblCellMar>
            <w:top w:w="0" w:type="dxa"/>
            <w:left w:w="57" w:type="dxa"/>
            <w:bottom w:w="0" w:type="dxa"/>
            <w:right w:w="57" w:type="dxa"/>
          </w:tblCellMar>
        </w:tblPrEx>
        <w:trPr>
          <w:trHeight w:val="567" w:hRule="exact"/>
          <w:jc w:val="center"/>
        </w:trPr>
        <w:tc>
          <w:tcPr>
            <w:tcW w:w="1984" w:type="dxa"/>
            <w:tcBorders>
              <w:top w:val="single" w:color="auto" w:sz="4" w:space="0"/>
              <w:left w:val="single" w:color="auto" w:sz="4" w:space="0"/>
            </w:tcBorders>
            <w:shd w:val="clear" w:color="auto" w:fill="FFFFFF"/>
            <w:vAlign w:val="center"/>
          </w:tcPr>
          <w:p w14:paraId="18BCA00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仿宋_GB2312" w:hAnsi="仿宋_GB2312" w:eastAsia="仿宋_GB2312" w:cs="仿宋_GB2312"/>
                <w:kern w:val="0"/>
                <w:sz w:val="24"/>
                <w:szCs w:val="24"/>
                <w:lang w:val="zh-TW" w:eastAsia="zh-TW" w:bidi="zh-TW"/>
              </w:rPr>
            </w:pPr>
            <w:r>
              <w:rPr>
                <w:rFonts w:hint="eastAsia" w:ascii="仿宋_GB2312" w:hAnsi="仿宋_GB2312" w:eastAsia="仿宋_GB2312" w:cs="仿宋_GB2312"/>
                <w:kern w:val="0"/>
                <w:sz w:val="24"/>
                <w:szCs w:val="24"/>
                <w:lang w:val="zh-TW" w:eastAsia="zh-TW" w:bidi="zh-TW"/>
              </w:rPr>
              <w:t>公司名称</w:t>
            </w:r>
          </w:p>
        </w:tc>
        <w:tc>
          <w:tcPr>
            <w:tcW w:w="6803" w:type="dxa"/>
            <w:tcBorders>
              <w:top w:val="single" w:color="auto" w:sz="4" w:space="0"/>
              <w:left w:val="single" w:color="auto" w:sz="4" w:space="0"/>
              <w:right w:val="single" w:color="auto" w:sz="4" w:space="0"/>
            </w:tcBorders>
            <w:shd w:val="clear" w:color="auto" w:fill="FFFFFF"/>
            <w:vAlign w:val="center"/>
          </w:tcPr>
          <w:p w14:paraId="70813AB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仿宋_GB2312" w:hAnsi="仿宋_GB2312" w:eastAsia="仿宋_GB2312" w:cs="仿宋_GB2312"/>
                <w:kern w:val="0"/>
                <w:sz w:val="24"/>
                <w:szCs w:val="24"/>
                <w:lang w:val="zh-TW" w:eastAsia="zh-TW" w:bidi="zh-TW"/>
              </w:rPr>
            </w:pPr>
          </w:p>
        </w:tc>
      </w:tr>
      <w:tr w14:paraId="74BA49AF">
        <w:tblPrEx>
          <w:tblCellMar>
            <w:top w:w="0" w:type="dxa"/>
            <w:left w:w="57" w:type="dxa"/>
            <w:bottom w:w="0" w:type="dxa"/>
            <w:right w:w="57" w:type="dxa"/>
          </w:tblCellMar>
        </w:tblPrEx>
        <w:trPr>
          <w:trHeight w:val="567" w:hRule="exact"/>
          <w:jc w:val="center"/>
        </w:trPr>
        <w:tc>
          <w:tcPr>
            <w:tcW w:w="1984" w:type="dxa"/>
            <w:tcBorders>
              <w:top w:val="single" w:color="auto" w:sz="4" w:space="0"/>
              <w:left w:val="single" w:color="auto" w:sz="4" w:space="0"/>
            </w:tcBorders>
            <w:shd w:val="clear" w:color="auto" w:fill="FFFFFF"/>
            <w:vAlign w:val="center"/>
          </w:tcPr>
          <w:p w14:paraId="7AA6D5C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仿宋_GB2312" w:hAnsi="仿宋_GB2312" w:eastAsia="仿宋_GB2312" w:cs="仿宋_GB2312"/>
                <w:kern w:val="0"/>
                <w:sz w:val="24"/>
                <w:szCs w:val="24"/>
                <w:lang w:val="zh-TW" w:eastAsia="zh-TW" w:bidi="zh-TW"/>
              </w:rPr>
            </w:pPr>
            <w:r>
              <w:rPr>
                <w:rFonts w:hint="eastAsia" w:ascii="仿宋_GB2312" w:hAnsi="仿宋_GB2312" w:eastAsia="仿宋_GB2312" w:cs="仿宋_GB2312"/>
                <w:kern w:val="0"/>
                <w:sz w:val="24"/>
                <w:szCs w:val="24"/>
                <w:lang w:val="zh-TW" w:eastAsia="zh-TW" w:bidi="zh-TW"/>
              </w:rPr>
              <w:t>纳税人识别号</w:t>
            </w:r>
          </w:p>
        </w:tc>
        <w:tc>
          <w:tcPr>
            <w:tcW w:w="6803" w:type="dxa"/>
            <w:tcBorders>
              <w:top w:val="single" w:color="auto" w:sz="4" w:space="0"/>
              <w:left w:val="single" w:color="auto" w:sz="4" w:space="0"/>
              <w:right w:val="single" w:color="auto" w:sz="4" w:space="0"/>
            </w:tcBorders>
            <w:shd w:val="clear" w:color="auto" w:fill="FFFFFF"/>
            <w:vAlign w:val="center"/>
          </w:tcPr>
          <w:p w14:paraId="73C58C0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仿宋_GB2312" w:hAnsi="仿宋_GB2312" w:eastAsia="仿宋_GB2312" w:cs="仿宋_GB2312"/>
                <w:kern w:val="0"/>
                <w:sz w:val="24"/>
                <w:szCs w:val="24"/>
                <w:lang w:val="zh-TW" w:eastAsia="zh-TW" w:bidi="zh-TW"/>
              </w:rPr>
            </w:pPr>
          </w:p>
        </w:tc>
      </w:tr>
      <w:tr w14:paraId="1F537B39">
        <w:tblPrEx>
          <w:tblCellMar>
            <w:top w:w="0" w:type="dxa"/>
            <w:left w:w="57" w:type="dxa"/>
            <w:bottom w:w="0" w:type="dxa"/>
            <w:right w:w="57" w:type="dxa"/>
          </w:tblCellMar>
        </w:tblPrEx>
        <w:trPr>
          <w:trHeight w:val="567" w:hRule="exact"/>
          <w:jc w:val="center"/>
        </w:trPr>
        <w:tc>
          <w:tcPr>
            <w:tcW w:w="1984" w:type="dxa"/>
            <w:tcBorders>
              <w:top w:val="single" w:color="auto" w:sz="4" w:space="0"/>
              <w:left w:val="single" w:color="auto" w:sz="4" w:space="0"/>
            </w:tcBorders>
            <w:shd w:val="clear" w:color="auto" w:fill="FFFFFF"/>
            <w:vAlign w:val="center"/>
          </w:tcPr>
          <w:p w14:paraId="5A931C6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仿宋_GB2312" w:hAnsi="仿宋_GB2312" w:eastAsia="仿宋_GB2312" w:cs="仿宋_GB2312"/>
                <w:kern w:val="0"/>
                <w:sz w:val="24"/>
                <w:szCs w:val="24"/>
                <w:lang w:val="zh-TW" w:eastAsia="zh-TW" w:bidi="zh-TW"/>
              </w:rPr>
            </w:pPr>
            <w:r>
              <w:rPr>
                <w:rFonts w:hint="eastAsia" w:ascii="仿宋_GB2312" w:hAnsi="仿宋_GB2312" w:eastAsia="仿宋_GB2312" w:cs="仿宋_GB2312"/>
                <w:kern w:val="0"/>
                <w:sz w:val="24"/>
                <w:szCs w:val="24"/>
                <w:lang w:val="zh-TW" w:eastAsia="zh-TW" w:bidi="zh-TW"/>
              </w:rPr>
              <w:t>联系电话、地址</w:t>
            </w:r>
          </w:p>
        </w:tc>
        <w:tc>
          <w:tcPr>
            <w:tcW w:w="6803" w:type="dxa"/>
            <w:tcBorders>
              <w:top w:val="single" w:color="auto" w:sz="4" w:space="0"/>
              <w:left w:val="single" w:color="auto" w:sz="4" w:space="0"/>
              <w:right w:val="single" w:color="auto" w:sz="4" w:space="0"/>
            </w:tcBorders>
            <w:shd w:val="clear" w:color="auto" w:fill="FFFFFF"/>
            <w:vAlign w:val="center"/>
          </w:tcPr>
          <w:p w14:paraId="28B28F5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仿宋_GB2312" w:hAnsi="仿宋_GB2312" w:eastAsia="仿宋_GB2312" w:cs="仿宋_GB2312"/>
                <w:kern w:val="0"/>
                <w:sz w:val="24"/>
                <w:szCs w:val="24"/>
                <w:lang w:val="zh-TW" w:eastAsia="zh-TW" w:bidi="zh-TW"/>
              </w:rPr>
            </w:pPr>
          </w:p>
        </w:tc>
      </w:tr>
      <w:tr w14:paraId="55CD6541">
        <w:tblPrEx>
          <w:tblCellMar>
            <w:top w:w="0" w:type="dxa"/>
            <w:left w:w="57" w:type="dxa"/>
            <w:bottom w:w="0" w:type="dxa"/>
            <w:right w:w="57" w:type="dxa"/>
          </w:tblCellMar>
        </w:tblPrEx>
        <w:trPr>
          <w:trHeight w:val="567" w:hRule="exact"/>
          <w:jc w:val="center"/>
        </w:trPr>
        <w:tc>
          <w:tcPr>
            <w:tcW w:w="1984" w:type="dxa"/>
            <w:tcBorders>
              <w:top w:val="single" w:color="auto" w:sz="4" w:space="0"/>
              <w:left w:val="single" w:color="auto" w:sz="4" w:space="0"/>
              <w:bottom w:val="single" w:color="auto" w:sz="4" w:space="0"/>
            </w:tcBorders>
            <w:shd w:val="clear" w:color="auto" w:fill="FFFFFF"/>
            <w:vAlign w:val="center"/>
          </w:tcPr>
          <w:p w14:paraId="5845B95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仿宋_GB2312" w:hAnsi="仿宋_GB2312" w:eastAsia="仿宋_GB2312" w:cs="仿宋_GB2312"/>
                <w:kern w:val="0"/>
                <w:sz w:val="24"/>
                <w:szCs w:val="24"/>
                <w:lang w:val="zh-TW" w:eastAsia="zh-TW" w:bidi="zh-TW"/>
              </w:rPr>
            </w:pPr>
            <w:r>
              <w:rPr>
                <w:rFonts w:hint="eastAsia" w:ascii="仿宋_GB2312" w:hAnsi="仿宋_GB2312" w:eastAsia="仿宋_GB2312" w:cs="仿宋_GB2312"/>
                <w:kern w:val="0"/>
                <w:sz w:val="24"/>
                <w:szCs w:val="24"/>
                <w:lang w:val="zh-TW" w:eastAsia="zh-TW" w:bidi="zh-TW"/>
              </w:rPr>
              <w:t>开户行、账号</w:t>
            </w:r>
          </w:p>
        </w:tc>
        <w:tc>
          <w:tcPr>
            <w:tcW w:w="6803" w:type="dxa"/>
            <w:tcBorders>
              <w:top w:val="single" w:color="auto" w:sz="4" w:space="0"/>
              <w:left w:val="single" w:color="auto" w:sz="4" w:space="0"/>
              <w:bottom w:val="single" w:color="auto" w:sz="4" w:space="0"/>
              <w:right w:val="single" w:color="auto" w:sz="4" w:space="0"/>
            </w:tcBorders>
            <w:shd w:val="clear" w:color="auto" w:fill="FFFFFF"/>
            <w:vAlign w:val="center"/>
          </w:tcPr>
          <w:p w14:paraId="7672FD3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eastAsia" w:ascii="仿宋_GB2312" w:hAnsi="仿宋_GB2312" w:eastAsia="仿宋_GB2312" w:cs="仿宋_GB2312"/>
                <w:kern w:val="0"/>
                <w:sz w:val="24"/>
                <w:szCs w:val="24"/>
                <w:lang w:val="zh-TW" w:eastAsia="zh-TW" w:bidi="zh-TW"/>
              </w:rPr>
            </w:pPr>
          </w:p>
        </w:tc>
      </w:tr>
    </w:tbl>
    <w:p w14:paraId="2FFCE4F0">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left"/>
        <w:rPr>
          <w:rFonts w:hint="eastAsia" w:ascii="仿宋_GB2312" w:hAnsi="仿宋_GB2312" w:eastAsia="仿宋_GB2312" w:cs="仿宋_GB2312"/>
          <w:kern w:val="0"/>
          <w:sz w:val="24"/>
          <w:szCs w:val="24"/>
          <w:lang w:val="zh-TW" w:eastAsia="zh-TW" w:bidi="zh-TW"/>
        </w:rPr>
      </w:pPr>
      <w:r>
        <w:rPr>
          <w:rFonts w:hint="eastAsia" w:ascii="仿宋_GB2312" w:hAnsi="仿宋_GB2312" w:eastAsia="仿宋_GB2312" w:cs="仿宋_GB2312"/>
          <w:kern w:val="0"/>
          <w:sz w:val="24"/>
          <w:szCs w:val="24"/>
          <w:lang w:val="en-US" w:eastAsia="zh-CN" w:bidi="zh-TW"/>
        </w:rPr>
        <w:t>6.乙方</w:t>
      </w:r>
      <w:r>
        <w:rPr>
          <w:rFonts w:hint="eastAsia" w:ascii="仿宋_GB2312" w:hAnsi="仿宋_GB2312" w:eastAsia="仿宋_GB2312" w:cs="仿宋_GB2312"/>
          <w:kern w:val="0"/>
          <w:sz w:val="24"/>
          <w:szCs w:val="24"/>
          <w:lang w:val="zh-TW" w:eastAsia="zh-TW" w:bidi="zh-TW"/>
        </w:rPr>
        <w:t>付款账号为:</w:t>
      </w:r>
    </w:p>
    <w:tbl>
      <w:tblPr>
        <w:tblStyle w:val="40"/>
        <w:tblW w:w="8787" w:type="dxa"/>
        <w:jc w:val="center"/>
        <w:tblLayout w:type="fixed"/>
        <w:tblCellMar>
          <w:top w:w="0" w:type="dxa"/>
          <w:left w:w="57" w:type="dxa"/>
          <w:bottom w:w="0" w:type="dxa"/>
          <w:right w:w="57" w:type="dxa"/>
        </w:tblCellMar>
      </w:tblPr>
      <w:tblGrid>
        <w:gridCol w:w="1984"/>
        <w:gridCol w:w="6803"/>
      </w:tblGrid>
      <w:tr w14:paraId="0F7E72C4">
        <w:tblPrEx>
          <w:tblCellMar>
            <w:top w:w="0" w:type="dxa"/>
            <w:left w:w="57" w:type="dxa"/>
            <w:bottom w:w="0" w:type="dxa"/>
            <w:right w:w="57" w:type="dxa"/>
          </w:tblCellMar>
        </w:tblPrEx>
        <w:trPr>
          <w:trHeight w:val="567" w:hRule="exact"/>
          <w:jc w:val="center"/>
        </w:trPr>
        <w:tc>
          <w:tcPr>
            <w:tcW w:w="1984" w:type="dxa"/>
            <w:tcBorders>
              <w:top w:val="single" w:color="auto" w:sz="4" w:space="0"/>
              <w:left w:val="single" w:color="auto" w:sz="4" w:space="0"/>
            </w:tcBorders>
            <w:shd w:val="clear" w:color="auto" w:fill="FFFFFF"/>
            <w:vAlign w:val="center"/>
          </w:tcPr>
          <w:p w14:paraId="79713C5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仿宋_GB2312" w:hAnsi="仿宋_GB2312" w:eastAsia="仿宋_GB2312" w:cs="仿宋_GB2312"/>
                <w:kern w:val="0"/>
                <w:sz w:val="24"/>
                <w:szCs w:val="24"/>
                <w:lang w:val="zh-TW" w:eastAsia="zh-TW" w:bidi="zh-TW"/>
              </w:rPr>
            </w:pPr>
            <w:r>
              <w:rPr>
                <w:rFonts w:hint="eastAsia" w:ascii="仿宋_GB2312" w:hAnsi="仿宋_GB2312" w:eastAsia="仿宋_GB2312" w:cs="仿宋_GB2312"/>
                <w:kern w:val="0"/>
                <w:sz w:val="24"/>
                <w:szCs w:val="24"/>
                <w:lang w:val="zh-TW" w:eastAsia="zh-TW" w:bidi="zh-TW"/>
              </w:rPr>
              <w:t>公司名称</w:t>
            </w:r>
          </w:p>
        </w:tc>
        <w:tc>
          <w:tcPr>
            <w:tcW w:w="6803" w:type="dxa"/>
            <w:tcBorders>
              <w:top w:val="single" w:color="auto" w:sz="4" w:space="0"/>
              <w:left w:val="single" w:color="auto" w:sz="4" w:space="0"/>
              <w:right w:val="single" w:color="auto" w:sz="4" w:space="0"/>
            </w:tcBorders>
            <w:shd w:val="clear" w:color="auto" w:fill="FFFFFF"/>
            <w:vAlign w:val="center"/>
          </w:tcPr>
          <w:p w14:paraId="67C4E8C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仿宋_GB2312" w:hAnsi="仿宋_GB2312" w:eastAsia="仿宋_GB2312" w:cs="仿宋_GB2312"/>
                <w:kern w:val="0"/>
                <w:sz w:val="24"/>
                <w:szCs w:val="24"/>
                <w:lang w:val="zh-TW" w:eastAsia="zh-CN" w:bidi="zh-TW"/>
              </w:rPr>
            </w:pPr>
          </w:p>
        </w:tc>
      </w:tr>
      <w:tr w14:paraId="6FE5B0B3">
        <w:tblPrEx>
          <w:tblCellMar>
            <w:top w:w="0" w:type="dxa"/>
            <w:left w:w="57" w:type="dxa"/>
            <w:bottom w:w="0" w:type="dxa"/>
            <w:right w:w="57" w:type="dxa"/>
          </w:tblCellMar>
        </w:tblPrEx>
        <w:trPr>
          <w:trHeight w:val="567" w:hRule="exact"/>
          <w:jc w:val="center"/>
        </w:trPr>
        <w:tc>
          <w:tcPr>
            <w:tcW w:w="1984" w:type="dxa"/>
            <w:tcBorders>
              <w:top w:val="single" w:color="auto" w:sz="4" w:space="0"/>
              <w:left w:val="single" w:color="auto" w:sz="4" w:space="0"/>
            </w:tcBorders>
            <w:shd w:val="clear" w:color="auto" w:fill="FFFFFF"/>
            <w:vAlign w:val="center"/>
          </w:tcPr>
          <w:p w14:paraId="187DD90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仿宋_GB2312" w:hAnsi="仿宋_GB2312" w:eastAsia="仿宋_GB2312" w:cs="仿宋_GB2312"/>
                <w:kern w:val="0"/>
                <w:sz w:val="24"/>
                <w:szCs w:val="24"/>
                <w:lang w:val="zh-TW" w:eastAsia="zh-TW" w:bidi="zh-TW"/>
              </w:rPr>
            </w:pPr>
            <w:r>
              <w:rPr>
                <w:rFonts w:hint="eastAsia" w:ascii="仿宋_GB2312" w:hAnsi="仿宋_GB2312" w:eastAsia="仿宋_GB2312" w:cs="仿宋_GB2312"/>
                <w:kern w:val="0"/>
                <w:sz w:val="24"/>
                <w:szCs w:val="24"/>
                <w:lang w:val="zh-TW" w:eastAsia="zh-TW" w:bidi="zh-TW"/>
              </w:rPr>
              <w:t>纳税人识别号</w:t>
            </w:r>
          </w:p>
        </w:tc>
        <w:tc>
          <w:tcPr>
            <w:tcW w:w="6803" w:type="dxa"/>
            <w:tcBorders>
              <w:top w:val="single" w:color="auto" w:sz="4" w:space="0"/>
              <w:left w:val="single" w:color="auto" w:sz="4" w:space="0"/>
              <w:right w:val="single" w:color="auto" w:sz="4" w:space="0"/>
            </w:tcBorders>
            <w:shd w:val="clear" w:color="auto" w:fill="FFFFFF"/>
            <w:vAlign w:val="center"/>
          </w:tcPr>
          <w:p w14:paraId="2D1936B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仿宋_GB2312" w:hAnsi="仿宋_GB2312" w:eastAsia="仿宋_GB2312" w:cs="仿宋_GB2312"/>
                <w:kern w:val="0"/>
                <w:sz w:val="24"/>
                <w:szCs w:val="24"/>
                <w:lang w:val="en-US" w:eastAsia="zh-CN" w:bidi="zh-TW"/>
              </w:rPr>
            </w:pPr>
          </w:p>
        </w:tc>
      </w:tr>
      <w:tr w14:paraId="7C28F6D0">
        <w:tblPrEx>
          <w:tblCellMar>
            <w:top w:w="0" w:type="dxa"/>
            <w:left w:w="57" w:type="dxa"/>
            <w:bottom w:w="0" w:type="dxa"/>
            <w:right w:w="57" w:type="dxa"/>
          </w:tblCellMar>
        </w:tblPrEx>
        <w:trPr>
          <w:trHeight w:val="567" w:hRule="exact"/>
          <w:jc w:val="center"/>
        </w:trPr>
        <w:tc>
          <w:tcPr>
            <w:tcW w:w="1984" w:type="dxa"/>
            <w:tcBorders>
              <w:top w:val="single" w:color="auto" w:sz="4" w:space="0"/>
              <w:left w:val="single" w:color="auto" w:sz="4" w:space="0"/>
              <w:bottom w:val="single" w:color="auto" w:sz="4" w:space="0"/>
            </w:tcBorders>
            <w:shd w:val="clear" w:color="auto" w:fill="FFFFFF"/>
            <w:vAlign w:val="center"/>
          </w:tcPr>
          <w:p w14:paraId="59576FF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仿宋_GB2312" w:hAnsi="仿宋_GB2312" w:eastAsia="仿宋_GB2312" w:cs="仿宋_GB2312"/>
                <w:kern w:val="0"/>
                <w:sz w:val="24"/>
                <w:szCs w:val="24"/>
                <w:lang w:val="zh-TW" w:eastAsia="zh-TW" w:bidi="zh-TW"/>
              </w:rPr>
            </w:pPr>
            <w:r>
              <w:rPr>
                <w:rFonts w:hint="eastAsia" w:ascii="仿宋_GB2312" w:hAnsi="仿宋_GB2312" w:eastAsia="仿宋_GB2312" w:cs="仿宋_GB2312"/>
                <w:kern w:val="0"/>
                <w:sz w:val="24"/>
                <w:szCs w:val="24"/>
                <w:lang w:val="zh-TW" w:eastAsia="zh-TW" w:bidi="zh-TW"/>
              </w:rPr>
              <w:t>联系电话、地址</w:t>
            </w:r>
          </w:p>
        </w:tc>
        <w:tc>
          <w:tcPr>
            <w:tcW w:w="6803" w:type="dxa"/>
            <w:tcBorders>
              <w:top w:val="single" w:color="auto" w:sz="4" w:space="0"/>
              <w:left w:val="single" w:color="auto" w:sz="4" w:space="0"/>
              <w:bottom w:val="single" w:color="auto" w:sz="4" w:space="0"/>
              <w:right w:val="single" w:color="auto" w:sz="4" w:space="0"/>
            </w:tcBorders>
            <w:shd w:val="clear" w:color="auto" w:fill="FFFFFF"/>
            <w:vAlign w:val="center"/>
          </w:tcPr>
          <w:p w14:paraId="29A62CE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仿宋_GB2312" w:hAnsi="仿宋_GB2312" w:eastAsia="仿宋_GB2312" w:cs="仿宋_GB2312"/>
                <w:kern w:val="0"/>
                <w:sz w:val="24"/>
                <w:szCs w:val="24"/>
                <w:lang w:val="en-US" w:eastAsia="zh-CN" w:bidi="zh-TW"/>
              </w:rPr>
            </w:pPr>
          </w:p>
        </w:tc>
      </w:tr>
      <w:tr w14:paraId="16F55B4C">
        <w:tblPrEx>
          <w:tblCellMar>
            <w:top w:w="0" w:type="dxa"/>
            <w:left w:w="57" w:type="dxa"/>
            <w:bottom w:w="0" w:type="dxa"/>
            <w:right w:w="57" w:type="dxa"/>
          </w:tblCellMar>
        </w:tblPrEx>
        <w:trPr>
          <w:trHeight w:val="567" w:hRule="exact"/>
          <w:jc w:val="center"/>
        </w:trPr>
        <w:tc>
          <w:tcPr>
            <w:tcW w:w="1984" w:type="dxa"/>
            <w:tcBorders>
              <w:top w:val="single" w:color="auto" w:sz="4" w:space="0"/>
              <w:left w:val="single" w:color="auto" w:sz="4" w:space="0"/>
              <w:bottom w:val="single" w:color="auto" w:sz="4" w:space="0"/>
            </w:tcBorders>
            <w:shd w:val="clear" w:color="auto" w:fill="FFFFFF"/>
            <w:vAlign w:val="center"/>
          </w:tcPr>
          <w:p w14:paraId="5AC5F63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0"/>
              <w:jc w:val="both"/>
              <w:textAlignment w:val="auto"/>
              <w:rPr>
                <w:rFonts w:hint="eastAsia" w:ascii="仿宋_GB2312" w:hAnsi="仿宋_GB2312" w:eastAsia="仿宋_GB2312" w:cs="仿宋_GB2312"/>
                <w:kern w:val="0"/>
                <w:sz w:val="24"/>
                <w:szCs w:val="24"/>
                <w:lang w:val="zh-TW" w:eastAsia="zh-TW" w:bidi="zh-TW"/>
              </w:rPr>
            </w:pPr>
            <w:r>
              <w:rPr>
                <w:rFonts w:hint="eastAsia" w:ascii="仿宋_GB2312" w:hAnsi="仿宋_GB2312" w:eastAsia="仿宋_GB2312" w:cs="仿宋_GB2312"/>
                <w:kern w:val="0"/>
                <w:sz w:val="24"/>
                <w:szCs w:val="24"/>
                <w:lang w:val="zh-TW" w:eastAsia="zh-TW" w:bidi="zh-TW"/>
              </w:rPr>
              <w:t>开户行、账号</w:t>
            </w:r>
          </w:p>
        </w:tc>
        <w:tc>
          <w:tcPr>
            <w:tcW w:w="6803" w:type="dxa"/>
            <w:tcBorders>
              <w:top w:val="single" w:color="auto" w:sz="4" w:space="0"/>
              <w:left w:val="single" w:color="auto" w:sz="4" w:space="0"/>
              <w:bottom w:val="single" w:color="auto" w:sz="4" w:space="0"/>
              <w:right w:val="single" w:color="auto" w:sz="4" w:space="0"/>
            </w:tcBorders>
            <w:shd w:val="clear" w:color="auto" w:fill="FFFFFF"/>
            <w:vAlign w:val="center"/>
          </w:tcPr>
          <w:p w14:paraId="0568A92C">
            <w:pPr>
              <w:keepNext w:val="0"/>
              <w:keepLines w:val="0"/>
              <w:pageBreakBefore w:val="0"/>
              <w:widowControl w:val="0"/>
              <w:suppressLineNumbers w:val="0"/>
              <w:tabs>
                <w:tab w:val="left" w:pos="195"/>
                <w:tab w:val="left" w:pos="840"/>
                <w:tab w:val="left" w:pos="1050"/>
                <w:tab w:val="left" w:pos="1560"/>
              </w:tabs>
              <w:kinsoku/>
              <w:wordWrap/>
              <w:overflowPunct w:val="0"/>
              <w:topLinePunct w:val="0"/>
              <w:autoSpaceDE/>
              <w:autoSpaceDN/>
              <w:bidi w:val="0"/>
              <w:adjustRightInd w:val="0"/>
              <w:snapToGrid w:val="0"/>
              <w:spacing w:before="0" w:beforeAutospacing="0" w:after="0" w:afterAutospacing="0"/>
              <w:ind w:left="0" w:leftChars="0" w:right="0" w:firstLine="0"/>
              <w:jc w:val="both"/>
              <w:textAlignment w:val="auto"/>
              <w:rPr>
                <w:rFonts w:hint="eastAsia" w:ascii="仿宋_GB2312" w:hAnsi="仿宋_GB2312" w:eastAsia="仿宋_GB2312" w:cs="仿宋_GB2312"/>
                <w:kern w:val="0"/>
                <w:sz w:val="24"/>
                <w:szCs w:val="24"/>
                <w:lang w:val="en-US" w:eastAsia="zh-CN" w:bidi="zh-TW"/>
              </w:rPr>
            </w:pPr>
          </w:p>
        </w:tc>
      </w:tr>
    </w:tbl>
    <w:p w14:paraId="374BDC5B">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360" w:lineRule="auto"/>
        <w:ind w:leftChars="0" w:firstLine="482" w:firstLineChars="200"/>
        <w:jc w:val="both"/>
        <w:textAlignment w:val="auto"/>
        <w:outlineLvl w:val="1"/>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第5条 技术要求</w:t>
      </w:r>
    </w:p>
    <w:p w14:paraId="7FC2C3DD">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基坑监测要求</w:t>
      </w:r>
    </w:p>
    <w:p w14:paraId="61ECD45E">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按国家、当地及行业规范进行监测。</w:t>
      </w:r>
    </w:p>
    <w:p w14:paraId="609B8440">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1.1</w:t>
      </w:r>
      <w:r>
        <w:rPr>
          <w:rFonts w:hint="eastAsia" w:ascii="仿宋_GB2312" w:hAnsi="仿宋_GB2312" w:eastAsia="仿宋_GB2312" w:cs="仿宋_GB2312"/>
          <w:kern w:val="0"/>
          <w:sz w:val="24"/>
          <w:szCs w:val="24"/>
        </w:rPr>
        <w:t>测点设置</w:t>
      </w:r>
    </w:p>
    <w:p w14:paraId="4BF70220">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1.1.1</w:t>
      </w:r>
      <w:r>
        <w:rPr>
          <w:rFonts w:hint="eastAsia" w:ascii="仿宋_GB2312" w:hAnsi="仿宋_GB2312" w:eastAsia="仿宋_GB2312" w:cs="仿宋_GB2312"/>
          <w:kern w:val="0"/>
          <w:sz w:val="24"/>
          <w:szCs w:val="24"/>
        </w:rPr>
        <w:t>支护体系观察：主要通过日常巡视，对支护结构的成型质量、裂缝以及基坑有无漏水等现象进行巡视检查，必须每日专人进行。</w:t>
      </w:r>
    </w:p>
    <w:p w14:paraId="163191DD">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1.1.2</w:t>
      </w:r>
      <w:r>
        <w:rPr>
          <w:rFonts w:hint="eastAsia" w:ascii="仿宋_GB2312" w:hAnsi="仿宋_GB2312" w:eastAsia="仿宋_GB2312" w:cs="仿宋_GB2312"/>
          <w:kern w:val="0"/>
          <w:sz w:val="24"/>
          <w:szCs w:val="24"/>
        </w:rPr>
        <w:t>支护结构顶部竖向位移和水平位移：沿基坑周边，围护桩顶部，间距15～20m布设观测点，基坑周边中部、阳角处应布置监测点，监测点宜设置在冠梁上。</w:t>
      </w:r>
    </w:p>
    <w:p w14:paraId="583F4A8D">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1.1.3支护结构深层水平位移：监测点布置于支护桩内部，可布置于基坑周边的中心处及代表性部位，数量和间距视现场情况而定，但每边至少应设1个监测点。</w:t>
      </w:r>
    </w:p>
    <w:p w14:paraId="2E812FD3">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1.1.4支护结构内力：监测点应布置在受力、变形较大且有代表性的部位，如基坑阳角部位，监测点数量和水平间距视具体情况而定。</w:t>
      </w:r>
    </w:p>
    <w:p w14:paraId="2023AF66">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1.1.5地下水位：基坑外侧，沿基坑周边，间距20～50m布置监测点，每侧不宜少于1个。</w:t>
      </w:r>
    </w:p>
    <w:p w14:paraId="5B133DE0">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1.1.6周边建筑及周围环境：主要为邻近的建构（筑）物、道路、地下管线，监测点布设视现场实际情况而定。</w:t>
      </w:r>
    </w:p>
    <w:p w14:paraId="64EA8300">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1.2</w:t>
      </w:r>
      <w:r>
        <w:rPr>
          <w:rFonts w:hint="eastAsia" w:ascii="仿宋_GB2312" w:hAnsi="仿宋_GB2312" w:eastAsia="仿宋_GB2312" w:cs="仿宋_GB2312"/>
          <w:kern w:val="0"/>
          <w:sz w:val="24"/>
          <w:szCs w:val="24"/>
        </w:rPr>
        <w:t>监测周期与监测频率</w:t>
      </w:r>
    </w:p>
    <w:p w14:paraId="67DC253A">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1.2.1</w:t>
      </w:r>
      <w:r>
        <w:rPr>
          <w:rFonts w:hint="eastAsia" w:ascii="仿宋_GB2312" w:hAnsi="仿宋_GB2312" w:eastAsia="仿宋_GB2312" w:cs="仿宋_GB2312"/>
          <w:kern w:val="0"/>
          <w:sz w:val="24"/>
          <w:szCs w:val="24"/>
        </w:rPr>
        <w:t>监测周期：基坑土石方开挖至基坑回填至正负零。</w:t>
      </w:r>
    </w:p>
    <w:p w14:paraId="2354146A">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1.2.2</w:t>
      </w:r>
      <w:r>
        <w:rPr>
          <w:rFonts w:hint="eastAsia" w:ascii="仿宋_GB2312" w:hAnsi="仿宋_GB2312" w:eastAsia="仿宋_GB2312" w:cs="仿宋_GB2312"/>
          <w:kern w:val="0"/>
          <w:sz w:val="24"/>
          <w:szCs w:val="24"/>
        </w:rPr>
        <w:t>监测频率：</w:t>
      </w:r>
    </w:p>
    <w:p w14:paraId="4D323FEA">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基坑开挖期间：开挖深度≤H/3时，1次/3天；H/3＜开挖深度≤2H/3时，1次/2天；2H/3＜开挖深度≤H时，1次/1天； （H为基坑深度）</w:t>
      </w:r>
    </w:p>
    <w:p w14:paraId="1756F3E3">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 xml:space="preserve">基坑底板浇筑后：1～7天时，1次1天；7～14天时，1次/3天；14～28天时，1次/5天；超过28天时，1次/7天； </w:t>
      </w:r>
    </w:p>
    <w:p w14:paraId="1AE8B373">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当基坑监测数据达到报警值、雨季及气候恶劣、监测结果异常、变化速率过大时，应提高监测频率；</w:t>
      </w:r>
    </w:p>
    <w:p w14:paraId="56D231EA">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施工单位应制定应急预案，当基坑变形达到报警值或显现险情时，应立即报告设计单位，并应采取相应的应急措施；</w:t>
      </w:r>
    </w:p>
    <w:p w14:paraId="64E9DF47">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1.3</w:t>
      </w:r>
      <w:r>
        <w:rPr>
          <w:rFonts w:hint="eastAsia" w:ascii="仿宋_GB2312" w:hAnsi="仿宋_GB2312" w:eastAsia="仿宋_GB2312" w:cs="仿宋_GB2312"/>
          <w:kern w:val="0"/>
          <w:sz w:val="24"/>
          <w:szCs w:val="24"/>
        </w:rPr>
        <w:t>质量要求：</w:t>
      </w:r>
    </w:p>
    <w:p w14:paraId="7CACD8B8">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1.3.1</w:t>
      </w:r>
      <w:r>
        <w:rPr>
          <w:rFonts w:hint="eastAsia" w:ascii="仿宋_GB2312" w:hAnsi="仿宋_GB2312" w:eastAsia="仿宋_GB2312" w:cs="仿宋_GB2312"/>
          <w:kern w:val="0"/>
          <w:sz w:val="24"/>
          <w:szCs w:val="24"/>
        </w:rPr>
        <w:t>投标人按招标人提供的设计图纸、施工要求进行合理布置监测点或观测点，其布点数量、位置及工作开展必须遵守相关法规及行业规范。</w:t>
      </w:r>
    </w:p>
    <w:p w14:paraId="2855262E">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1.3.2技术成果应包括当日报表、阶段性分析报告和总结报告。技术成果提供的内容应真实、准确、完整，并宜用文字闸述与绘制变化曲线或图形相结合的形式表达。技术成果应按时报送。</w:t>
      </w:r>
    </w:p>
    <w:p w14:paraId="4B8DB867">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当日报表应包括下列内容：当日的天气情况和施工现场的工况；仪器监测项目各监测点的本次测试值、单次变化值、变化速率以及累计值等，必要时绘制有关曲线图；巡视检查的记录；对监测项目应有正常或异常的判断性结论；对达到或超过监测预警值的监测点应有预警标示，并有分析和建议；对巡视检查发现的异常情况应有详细描述，危险情况应有报警标示，并有分析和建议；其他相关说明。</w:t>
      </w:r>
    </w:p>
    <w:p w14:paraId="62E02891">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阶段性报告应包括下列内容：该监测阶段相应的工程、气象及周边环境概况；该监测阶段的监测项目及测点的布置图；各项监测数据的整理、统计及监测成果的过程曲线；各监测项目监测值的变化分析、评价及发展预测；相关的设计和施工建议。</w:t>
      </w:r>
    </w:p>
    <w:p w14:paraId="1BFB3EB7">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总结报告应包括下列内容：工程概况；监测依据；监测项目；监测点布置；监测设备和监测方法；监测频率；监测预警值：各监测项目全过程的发展变化分析及整体评述；监测工作结论与建议。</w:t>
      </w:r>
    </w:p>
    <w:p w14:paraId="7EBEB3C9">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3.3监测项目应与基坑工程设计、施工方案相匹配；应针对监测对象的关键部位进行重点观测；各监测项目的选择应利于形成互为补充、验证的监测体系。</w:t>
      </w:r>
    </w:p>
    <w:p w14:paraId="340B07FB">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1.3.4监测点的布设：</w:t>
      </w:r>
    </w:p>
    <w:p w14:paraId="77029075">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监测点的布置应能反映监测对象的实际状态及其变化趋势，监测点应布置在监测对象受力及变形关键点和特征点上，并应满足对监测对象的监控要求。</w:t>
      </w:r>
    </w:p>
    <w:p w14:paraId="05A1BA73">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监测点的布置不应坊碍监测对象的正常工作，并且便于监测、易于保护。</w:t>
      </w:r>
    </w:p>
    <w:p w14:paraId="31A3ABE3">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不同监测项目的监测点宜布置在同一监测断面上。</w:t>
      </w:r>
    </w:p>
    <w:p w14:paraId="26679379">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监测标志应稳固可靠、标示清晰。</w:t>
      </w:r>
    </w:p>
    <w:p w14:paraId="35E29BAD">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3.5巡视，基坑工程施工和使用期内，每天均应由专人进行巡视检查。基坑工程巡视检查宜包括以下内容：</w:t>
      </w:r>
    </w:p>
    <w:p w14:paraId="14632405">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 xml:space="preserve">支护结构：支护结构成型质量；是否有裂缝，有无过大变形； </w:t>
      </w:r>
    </w:p>
    <w:p w14:paraId="5F9B9D4A">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措施：基坑有无涌土、流砂、管涌；面层有无开裂、脱落。</w:t>
      </w:r>
    </w:p>
    <w:p w14:paraId="08B84C73">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施工状况：开挖后暴露的岩土体情况与岩土勘察报告有无差异；开挖分段长度、分层厚度及支撑（错杆）设置是否与设计要求一致；基坑侧壁开挖暴露面是否及时封闭；支撑、锚杆是否施工及时；边坡、侧壁及周边地表的截水、排水措施是否到位，坑边或坑底有无积水；基坑降水、回灌设施运转是否正常；基坑周边地面有无超载。</w:t>
      </w:r>
    </w:p>
    <w:p w14:paraId="0E87ECDE">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周边环境：周边管线有无破损、泄漏情况；围护墙后土体有无沉陷、裂缝及滑移现象；周边建筑有无新增裂缝出现；周边道路（地面）有无裂缝、沉陷；邻近基坑施工（堆载、开挖、降水或回灌、打桩等）变化情况；存在水力联系的邻近水体（湖泊、河流、水库等）的水位变化情况。</w:t>
      </w:r>
    </w:p>
    <w:p w14:paraId="326EA212">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监测设施：基准点、监测点完好状况；监测元件的完好及保护情况；有无影响观测工作的障碍物。</w:t>
      </w:r>
    </w:p>
    <w:p w14:paraId="6AAFB0C5">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根据设计要求或当地经验确定的其他巡视检查内容。</w:t>
      </w:r>
    </w:p>
    <w:p w14:paraId="4775EAB8">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4工程承包内容、成果要求</w:t>
      </w:r>
    </w:p>
    <w:p w14:paraId="0EF5C985">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基坑检测过程中，投标人每周根据监测情况出具基坑检测周报，当出现下列情况之一时，必须立即进行危险报警，并应通知有关各方对基坑支护结构和周边环境保护对象采取应急措施，并第一时间出具监测数据：</w:t>
      </w:r>
    </w:p>
    <w:p w14:paraId="55FB5441">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1.4.</w:t>
      </w:r>
      <w:r>
        <w:rPr>
          <w:rFonts w:hint="eastAsia" w:ascii="仿宋_GB2312" w:hAnsi="仿宋_GB2312" w:eastAsia="仿宋_GB2312" w:cs="仿宋_GB2312"/>
          <w:kern w:val="0"/>
          <w:sz w:val="24"/>
          <w:szCs w:val="24"/>
        </w:rPr>
        <w:t>1监测数据达到监测预警报警值的累计值；</w:t>
      </w:r>
    </w:p>
    <w:p w14:paraId="0BB98B27">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1.4.2基坑支护结构或周边土体的位移值突然明显增大或基坑出现流沙、管涌、隆起、陷落或较严重的渗漏等；</w:t>
      </w:r>
    </w:p>
    <w:p w14:paraId="38288DC4">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1.4.3基坑支护结构的支撑或锚杆体系出现过大变形、压屈、断裂、松弛或拔出现象；</w:t>
      </w:r>
    </w:p>
    <w:p w14:paraId="298EB936">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1.4.4周边建筑的结构部分、周边地面出现严重的突发裂缝或危害结构的变形裂缝、地下空洞、地面下陷情况；</w:t>
      </w:r>
    </w:p>
    <w:p w14:paraId="65B955D9">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1.4.5周边管线变形突然明显增长或出现裂缝、泄露等；</w:t>
      </w:r>
    </w:p>
    <w:p w14:paraId="7DF31C9E">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1.4.6冻土基坑经受冻融循环时，基坑周边土体温度显著上升，发生明显的冻融变形；</w:t>
      </w:r>
    </w:p>
    <w:p w14:paraId="2309E924">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1.4.7出现基坑工程设计方提出的其他危险报警情况，或根据当地工程经验判断，出现其他必须进行危险报警的情况以及其他影响安全施工的情况。</w:t>
      </w:r>
    </w:p>
    <w:p w14:paraId="3A78C2DE">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1.5监测工作结束后10个日历天内，投标人向招标人提交最终监测总结报告8份，并对其监测报告质量负责，报告须经甲方专业工程师及监理签字确认。</w:t>
      </w:r>
    </w:p>
    <w:p w14:paraId="7DFDA01D">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1.6投标人的基坑监测工作及所出具的报告必须按行业相关政策、法规或规范要求，并确保满足项目的竣工备案资料的要求。若出现资料缺失问题，投标人将无条件补充符合备案要求的缺失资料。</w:t>
      </w:r>
    </w:p>
    <w:p w14:paraId="71657705">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按照动态设计、信息化施工的方法进行，基坑支护结构施工应与现场监测相结合，根据现场监测反馈信息及时进行分析，达到动态设计和信息化施工的目的，监测质量满足《建筑基坑工程监测技术标准》GB50497-2019要求。</w:t>
      </w:r>
    </w:p>
    <w:p w14:paraId="324720AC">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2.沉降观测要求</w:t>
      </w:r>
    </w:p>
    <w:p w14:paraId="574A6CE3">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2.1本工程（南昌航空大学综合科研大楼项目）应对整个建筑在施工及运营阶段中作沉降观测记录，乙方应在具体实施方案中拟定具体位置，具体实施方案须经甲方复核确定。</w:t>
      </w:r>
    </w:p>
    <w:p w14:paraId="5526C6C9">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2.2沉降观测每栋楼每三层观测一次，并在封顶、完成砌体、完成装修、竣工时各观测一次；封顶后第一年每季度监测一次，第二年每半年监测一次。</w:t>
      </w:r>
    </w:p>
    <w:p w14:paraId="05A5160B">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2.3建筑运营阶段（既工程竣工验收后阶段）的观测次数不低于以下要求：在第一年观测2次，当沉降观测阶段最后100天（d）的沉降速率小于0.01～0.04mm/d时可认为建筑沉降已进入稳定阶段。</w:t>
      </w:r>
    </w:p>
    <w:p w14:paraId="45CE4FBF">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2.4测量单位应根据变形类型、测量目的、任务要求以及测区条件进行具体实施方案设计，报甲方、监理、总包、设计单位审核通过后及时实施，沉降观测点的布置应全面反映建筑及地基变形特征。</w:t>
      </w:r>
    </w:p>
    <w:p w14:paraId="3ACC992B">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2.5沉降观测资料按《建筑变形测量规程》JGJ 8-2016的相关要求进行整理并提供图表。如发现异常情况应立即通知甲方进行处理；</w:t>
      </w:r>
    </w:p>
    <w:p w14:paraId="0AB0B3B1">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2.6按甲方确认的实施方案进行观测，每周期观测结束后，应对观测数据和计算资料及时进行整理验算，计算各观测点的沉降量，填制观测成果表，提供完善的阶段性报告，并及时提交给甲方。</w:t>
      </w:r>
    </w:p>
    <w:p w14:paraId="057760E7">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2.7乙方的沉降观测工作及所出具的报告必须按行业相关政策、法规或规范要求，并确保满足项目的竣工备案资料的要求。若出现资料缺失问题，乙方将无条件补充符合备案要求的缺失资料。</w:t>
      </w:r>
    </w:p>
    <w:p w14:paraId="73F8BD1F">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2.8质量要求：合格，测量成果报告须达到政府质量监督管理单位及本项目档案接收管理部门备案、归档要求。</w:t>
      </w:r>
    </w:p>
    <w:p w14:paraId="3CB34539">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2.9沉降观测完工后，应至少提交下列成果：</w:t>
      </w:r>
    </w:p>
    <w:p w14:paraId="4D93D074">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2.9.1沉降观测成果表；</w:t>
      </w:r>
    </w:p>
    <w:p w14:paraId="369C3E67">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2.9.2基准点，观测点与建筑物位置平面图；</w:t>
      </w:r>
    </w:p>
    <w:p w14:paraId="7693928E">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2.9.3“时间—沉降量”曲线图；</w:t>
      </w:r>
    </w:p>
    <w:p w14:paraId="1D139093">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2.9.4沉降观测分析报告。</w:t>
      </w:r>
    </w:p>
    <w:p w14:paraId="42644019">
      <w:pPr>
        <w:keepNext w:val="0"/>
        <w:keepLines w:val="0"/>
        <w:pageBreakBefore w:val="0"/>
        <w:widowControl w:val="0"/>
        <w:kinsoku/>
        <w:overflowPunct w:val="0"/>
        <w:topLinePunct w:val="0"/>
        <w:autoSpaceDN/>
        <w:bidi w:val="0"/>
        <w:adjustRightInd w:val="0"/>
        <w:snapToGrid w:val="0"/>
        <w:spacing w:after="0" w:line="360" w:lineRule="auto"/>
        <w:ind w:left="0" w:leftChars="0" w:firstLine="482" w:firstLineChars="200"/>
        <w:jc w:val="both"/>
        <w:outlineLvl w:val="1"/>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第6条 甲方责任</w:t>
      </w:r>
    </w:p>
    <w:p w14:paraId="185CC764">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1.提供观测所需资料。</w:t>
      </w:r>
    </w:p>
    <w:p w14:paraId="4E42CEA7">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2.按工程进度适时提前两天通知乙方进场观测。</w:t>
      </w:r>
    </w:p>
    <w:p w14:paraId="76F74871">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3.按合同的约定及时支付基坑监测/沉降观测费用。</w:t>
      </w:r>
    </w:p>
    <w:p w14:paraId="348A37F5">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4.甲方应保护乙方的投标书、观测方案、报告书、文件、资料图纸、数据、特殊工艺（方法）、专利技术和合理化建议，未经乙方同意，甲方不得复制、不得泄露、不得擅自修改、传送或向第三人转让或用于本合同外的项目。</w:t>
      </w:r>
    </w:p>
    <w:p w14:paraId="09F9CD68">
      <w:pPr>
        <w:keepNext w:val="0"/>
        <w:keepLines w:val="0"/>
        <w:pageBreakBefore w:val="0"/>
        <w:widowControl w:val="0"/>
        <w:kinsoku/>
        <w:overflowPunct w:val="0"/>
        <w:topLinePunct w:val="0"/>
        <w:autoSpaceDN/>
        <w:bidi w:val="0"/>
        <w:adjustRightInd w:val="0"/>
        <w:snapToGrid w:val="0"/>
        <w:spacing w:after="0" w:line="360" w:lineRule="auto"/>
        <w:ind w:left="0" w:leftChars="0" w:firstLine="482" w:firstLineChars="200"/>
        <w:jc w:val="both"/>
        <w:outlineLvl w:val="1"/>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第7条 乙方责任</w:t>
      </w:r>
    </w:p>
    <w:p w14:paraId="451FFDA0">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r>
        <w:rPr>
          <w:rFonts w:hint="default" w:ascii="仿宋_GB2312" w:hAnsi="仿宋_GB2312" w:eastAsia="仿宋_GB2312" w:cs="仿宋_GB2312"/>
          <w:kern w:val="0"/>
          <w:sz w:val="24"/>
          <w:szCs w:val="24"/>
          <w:lang w:val="en-US" w:eastAsia="zh-CN"/>
        </w:rPr>
        <w:t>合同签订后，乙方应该</w:t>
      </w:r>
      <w:r>
        <w:rPr>
          <w:rFonts w:hint="eastAsia" w:ascii="仿宋_GB2312" w:hAnsi="仿宋_GB2312" w:eastAsia="仿宋_GB2312" w:cs="仿宋_GB2312"/>
          <w:kern w:val="0"/>
          <w:sz w:val="24"/>
          <w:szCs w:val="24"/>
          <w:lang w:val="en-US" w:eastAsia="zh-CN"/>
        </w:rPr>
        <w:t>按</w:t>
      </w:r>
      <w:r>
        <w:rPr>
          <w:rFonts w:hint="default" w:ascii="仿宋_GB2312" w:hAnsi="仿宋_GB2312" w:eastAsia="仿宋_GB2312" w:cs="仿宋_GB2312"/>
          <w:kern w:val="0"/>
          <w:sz w:val="24"/>
          <w:szCs w:val="24"/>
          <w:lang w:val="en-US" w:eastAsia="zh-CN"/>
        </w:rPr>
        <w:t>甲方</w:t>
      </w:r>
      <w:r>
        <w:rPr>
          <w:rFonts w:hint="eastAsia" w:ascii="仿宋_GB2312" w:hAnsi="仿宋_GB2312" w:eastAsia="仿宋_GB2312" w:cs="仿宋_GB2312"/>
          <w:kern w:val="0"/>
          <w:sz w:val="24"/>
          <w:szCs w:val="24"/>
          <w:lang w:val="en-US" w:eastAsia="zh-CN"/>
        </w:rPr>
        <w:t>通知时间及时</w:t>
      </w:r>
      <w:r>
        <w:rPr>
          <w:rFonts w:hint="default" w:ascii="仿宋_GB2312" w:hAnsi="仿宋_GB2312" w:eastAsia="仿宋_GB2312" w:cs="仿宋_GB2312"/>
          <w:kern w:val="0"/>
          <w:sz w:val="24"/>
          <w:szCs w:val="24"/>
          <w:lang w:val="en-US" w:eastAsia="zh-CN"/>
        </w:rPr>
        <w:t>组织人员进场并编制详细基坑监测/沉降观测方案，并迅速有效地开展工作</w:t>
      </w:r>
      <w:r>
        <w:rPr>
          <w:rFonts w:hint="eastAsia" w:ascii="仿宋_GB2312" w:hAnsi="仿宋_GB2312" w:eastAsia="仿宋_GB2312" w:cs="仿宋_GB2312"/>
          <w:kern w:val="0"/>
          <w:sz w:val="24"/>
          <w:szCs w:val="24"/>
          <w:lang w:val="en-US" w:eastAsia="zh-CN"/>
        </w:rPr>
        <w:t>；</w:t>
      </w:r>
    </w:p>
    <w:p w14:paraId="125E6A0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2.对基坑监测/沉降观测结果的真实性、准确性负责。</w:t>
      </w:r>
    </w:p>
    <w:p w14:paraId="1A00BD9A">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3.在基坑监测/沉降观测过程中，有异常情况及时通知甲方，以便采取安全措施。</w:t>
      </w:r>
    </w:p>
    <w:p w14:paraId="431354D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r>
        <w:rPr>
          <w:rFonts w:hint="default" w:ascii="仿宋_GB2312" w:hAnsi="仿宋_GB2312" w:eastAsia="仿宋_GB2312" w:cs="仿宋_GB2312"/>
          <w:kern w:val="0"/>
          <w:sz w:val="24"/>
          <w:szCs w:val="24"/>
          <w:lang w:val="en-US" w:eastAsia="zh-CN"/>
        </w:rPr>
        <w:t>如乙方不能按照监测方案及甲方指令完成工作，乙方必须无偿追加设备、机械、辅材、安全设施及人员投入，以达到甲方要求为止；如乙方在追加设备、机械、辅材、安全设施及人员投入后，仍不能达到甲方要求时，甲方有权另行聘请其它监测单位承接以上工程，乙方承担所有经济上以及工期上的损失，并按实际发生额另外加30%扣减乙方之费用。</w:t>
      </w:r>
    </w:p>
    <w:p w14:paraId="1D2282D7">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r>
        <w:rPr>
          <w:rFonts w:hint="default" w:ascii="仿宋_GB2312" w:hAnsi="仿宋_GB2312" w:eastAsia="仿宋_GB2312" w:cs="仿宋_GB2312"/>
          <w:kern w:val="0"/>
          <w:sz w:val="24"/>
          <w:szCs w:val="24"/>
          <w:lang w:val="en-US" w:eastAsia="zh-CN"/>
        </w:rPr>
        <w:t>乙方自行解决本工程所需所有资源，包括施工所需足够量的设备、材料，并自行进行妥善看管，丢失、损坏由乙方自理；</w:t>
      </w:r>
    </w:p>
    <w:p w14:paraId="49828FF9">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6.基坑监测/沉降观测</w:t>
      </w:r>
      <w:r>
        <w:rPr>
          <w:rFonts w:hint="default" w:ascii="仿宋_GB2312" w:hAnsi="仿宋_GB2312" w:eastAsia="仿宋_GB2312" w:cs="仿宋_GB2312"/>
          <w:kern w:val="0"/>
          <w:sz w:val="24"/>
          <w:szCs w:val="24"/>
          <w:lang w:val="en-US" w:eastAsia="zh-CN"/>
        </w:rPr>
        <w:t>过程所需一切证件（包括夜间施工证）由乙方及时自行办理；</w:t>
      </w:r>
    </w:p>
    <w:p w14:paraId="4DEF653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r>
        <w:rPr>
          <w:rFonts w:hint="default" w:ascii="仿宋_GB2312" w:hAnsi="仿宋_GB2312" w:eastAsia="仿宋_GB2312" w:cs="仿宋_GB2312"/>
          <w:kern w:val="0"/>
          <w:sz w:val="24"/>
          <w:szCs w:val="24"/>
          <w:lang w:val="en-US" w:eastAsia="zh-CN"/>
        </w:rPr>
        <w:t>乙方如施工需要临时增设道路或场地平整由乙方自行妥善处理；</w:t>
      </w:r>
    </w:p>
    <w:p w14:paraId="719D8723">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w:t>
      </w:r>
      <w:r>
        <w:rPr>
          <w:rFonts w:hint="default" w:ascii="仿宋_GB2312" w:hAnsi="仿宋_GB2312" w:eastAsia="仿宋_GB2312" w:cs="仿宋_GB2312"/>
          <w:kern w:val="0"/>
          <w:sz w:val="24"/>
          <w:szCs w:val="24"/>
          <w:lang w:val="en-US" w:eastAsia="zh-CN"/>
        </w:rPr>
        <w:t>不因工程施工对现场环境造成污染和扰民现象，如发生由乙方自行妥善处理；</w:t>
      </w:r>
    </w:p>
    <w:p w14:paraId="2D31928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r>
        <w:rPr>
          <w:rFonts w:hint="default" w:ascii="仿宋_GB2312" w:hAnsi="仿宋_GB2312" w:eastAsia="仿宋_GB2312" w:cs="仿宋_GB2312"/>
          <w:kern w:val="0"/>
          <w:sz w:val="24"/>
          <w:szCs w:val="24"/>
          <w:lang w:val="en-US" w:eastAsia="zh-CN"/>
        </w:rPr>
        <w:t>组织工人进行安全施工，确保施工安全；</w:t>
      </w:r>
    </w:p>
    <w:p w14:paraId="57514960">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r>
        <w:rPr>
          <w:rFonts w:hint="default" w:ascii="仿宋_GB2312" w:hAnsi="仿宋_GB2312" w:eastAsia="仿宋_GB2312" w:cs="仿宋_GB2312"/>
          <w:kern w:val="0"/>
          <w:sz w:val="24"/>
          <w:szCs w:val="24"/>
          <w:lang w:val="en-US" w:eastAsia="zh-CN"/>
        </w:rPr>
        <w:t>按照施工安全规范，采取预防事故措施，确保基坑监测/沉降观测人员安全和第三方的安全。因乙方原因发生的安全事故，均由乙方负责，并立即书面报告甲方或主管单位备案。乙方不得损坏场地内或场地临近的各种管线和构筑物，若有任何损坏，须立即通知甲方及有关单位，并由乙方负责损失及修复费用。</w:t>
      </w:r>
    </w:p>
    <w:p w14:paraId="738BA42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w:t>
      </w:r>
      <w:r>
        <w:rPr>
          <w:rFonts w:hint="default" w:ascii="仿宋_GB2312" w:hAnsi="仿宋_GB2312" w:eastAsia="仿宋_GB2312" w:cs="仿宋_GB2312"/>
          <w:kern w:val="0"/>
          <w:sz w:val="24"/>
          <w:szCs w:val="24"/>
          <w:lang w:val="en-US" w:eastAsia="zh-CN"/>
        </w:rPr>
        <w:t>乙方及时妥善处理施工及监测过程中一切不可预见因素；</w:t>
      </w:r>
    </w:p>
    <w:p w14:paraId="50271BB7">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w:t>
      </w:r>
      <w:r>
        <w:rPr>
          <w:rFonts w:hint="default" w:ascii="仿宋_GB2312" w:hAnsi="仿宋_GB2312" w:eastAsia="仿宋_GB2312" w:cs="仿宋_GB2312"/>
          <w:kern w:val="0"/>
          <w:sz w:val="24"/>
          <w:szCs w:val="24"/>
          <w:lang w:val="en-US" w:eastAsia="zh-CN"/>
        </w:rPr>
        <w:t>乙方妥善协调影响现场施工进度不利因素，无论发生任何影响施工进度事件，乙方均应妥善解决，不得以任何理由向甲方提出经济和工期补偿要求。</w:t>
      </w:r>
    </w:p>
    <w:p w14:paraId="52A197E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w:t>
      </w:r>
      <w:r>
        <w:rPr>
          <w:rFonts w:hint="default" w:ascii="仿宋_GB2312" w:hAnsi="仿宋_GB2312" w:eastAsia="仿宋_GB2312" w:cs="仿宋_GB2312"/>
          <w:kern w:val="0"/>
          <w:sz w:val="24"/>
          <w:szCs w:val="24"/>
          <w:lang w:val="en-US" w:eastAsia="zh-CN"/>
        </w:rPr>
        <w:t>乙方承担因违反以上各条而导致的一切责任和费用，不得以任何理由向甲方提出经济和工期补偿要求。</w:t>
      </w:r>
    </w:p>
    <w:p w14:paraId="2B6F2CA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w:t>
      </w:r>
      <w:r>
        <w:rPr>
          <w:rFonts w:hint="default" w:ascii="仿宋_GB2312" w:hAnsi="仿宋_GB2312" w:eastAsia="仿宋_GB2312" w:cs="仿宋_GB2312"/>
          <w:kern w:val="0"/>
          <w:sz w:val="24"/>
          <w:szCs w:val="24"/>
          <w:lang w:val="en-US" w:eastAsia="zh-CN"/>
        </w:rPr>
        <w:t>在甲方具备档案归档前提下，乙方应在接到甲方通知的三天内将基坑监测/沉降观测的成果资料交付给甲方，以便甲方及时报送工程所在地的档案管理部门备案，如乙方未能按时报送，则每延误一日按1000元人民币赔偿甲方损失。</w:t>
      </w:r>
    </w:p>
    <w:p w14:paraId="5E5C125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2" w:firstLineChars="200"/>
        <w:textAlignment w:val="auto"/>
        <w:outlineLvl w:val="1"/>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第8条 工地代表</w:t>
      </w:r>
    </w:p>
    <w:p w14:paraId="1731AC09">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1.甲方工地代表：</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lang w:val="en-US" w:eastAsia="zh-CN"/>
        </w:rPr>
        <w:t>（联系电话：</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lang w:val="en-US" w:eastAsia="zh-CN"/>
        </w:rPr>
        <w:t>），甲方对甲方工地代表的授权范围如下：监督、检查工程的质量，协调工作中发生的有关事宜，负责解决施工及监测过程遇到的问题，并参与工程的初验、验收和签证工作（其中签证等应当由甲方加盖单位公章方能视为有效）。</w:t>
      </w:r>
    </w:p>
    <w:p w14:paraId="591ADDE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2.乙方工地代表：</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lang w:val="en-US" w:eastAsia="zh-CN"/>
        </w:rPr>
        <w:t>（联系电话：</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lang w:val="en-US" w:eastAsia="zh-CN"/>
        </w:rPr>
        <w:t>），乙方对乙方工地代表的授权范围如下：乙方工地代表是乙方在项目现场的特别授权代表，授权处理一切与本工程有关的事宜，其签发的文件乙方均予以认可并承担责任。如需变更时，应由乙方提出合理申请并经甲方确认后，方可进行更换，且更换的人员必须具有相应的资格。</w:t>
      </w:r>
    </w:p>
    <w:p w14:paraId="417663A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2" w:firstLineChars="200"/>
        <w:textAlignment w:val="auto"/>
        <w:outlineLvl w:val="1"/>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第9条 工程验收</w:t>
      </w:r>
    </w:p>
    <w:p w14:paraId="084D1FE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提交基坑监测/沉降观测，通过监理和甲方验收。</w:t>
      </w:r>
    </w:p>
    <w:p w14:paraId="1A48DE4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2" w:firstLineChars="200"/>
        <w:textAlignment w:val="auto"/>
        <w:outlineLvl w:val="1"/>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第10条 工程结算</w:t>
      </w:r>
    </w:p>
    <w:p w14:paraId="4EFA718A">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Chars="0" w:firstLine="480" w:firstLineChars="200"/>
        <w:textAlignment w:val="auto"/>
        <w:rPr>
          <w:rFonts w:hint="default"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val="en-US" w:eastAsia="zh-CN"/>
        </w:rPr>
        <w:t>.</w:t>
      </w:r>
      <w:r>
        <w:rPr>
          <w:rFonts w:hint="default" w:ascii="仿宋_GB2312" w:hAnsi="仿宋_GB2312" w:eastAsia="仿宋_GB2312" w:cs="仿宋_GB2312"/>
          <w:kern w:val="0"/>
          <w:sz w:val="24"/>
          <w:szCs w:val="24"/>
          <w:lang w:val="en-US" w:eastAsia="zh-CN"/>
        </w:rPr>
        <w:t>本工程按实结算。</w:t>
      </w:r>
    </w:p>
    <w:p w14:paraId="28CE2C43">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Chars="0" w:firstLine="480" w:firstLineChars="200"/>
        <w:textAlignment w:val="auto"/>
        <w:rPr>
          <w:rFonts w:hint="default"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lang w:val="en-US" w:eastAsia="zh-CN"/>
        </w:rPr>
        <w:t>.</w:t>
      </w:r>
      <w:r>
        <w:rPr>
          <w:rFonts w:hint="default" w:ascii="仿宋_GB2312" w:hAnsi="仿宋_GB2312" w:eastAsia="仿宋_GB2312" w:cs="仿宋_GB2312"/>
          <w:kern w:val="0"/>
          <w:sz w:val="24"/>
          <w:szCs w:val="24"/>
          <w:lang w:val="en-US" w:eastAsia="zh-CN"/>
        </w:rPr>
        <w:t>施工用水电乙方自行考虑。</w:t>
      </w:r>
    </w:p>
    <w:p w14:paraId="3C16970D">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Chars="0" w:firstLine="480" w:firstLineChars="200"/>
        <w:textAlignment w:val="auto"/>
        <w:rPr>
          <w:rFonts w:hint="default"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lang w:val="en-US" w:eastAsia="zh-CN"/>
        </w:rPr>
        <w:t>.</w:t>
      </w:r>
      <w:r>
        <w:rPr>
          <w:rFonts w:hint="default" w:ascii="仿宋_GB2312" w:hAnsi="仿宋_GB2312" w:eastAsia="仿宋_GB2312" w:cs="仿宋_GB2312"/>
          <w:kern w:val="0"/>
          <w:sz w:val="24"/>
          <w:szCs w:val="24"/>
          <w:lang w:val="en-US" w:eastAsia="zh-CN"/>
        </w:rPr>
        <w:t>因乙方违约等产生违约金、赔偿金、罚款的，甲方有权在应付乙方款项中直接扣除，但此等扣款不扣减乙方应向甲方足额开具增值税发票的票面金额。</w:t>
      </w:r>
    </w:p>
    <w:p w14:paraId="29710CA4">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Chars="0" w:firstLine="482" w:firstLineChars="200"/>
        <w:textAlignment w:val="auto"/>
        <w:outlineLvl w:val="1"/>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第11条 合同条款的确认</w:t>
      </w:r>
    </w:p>
    <w:p w14:paraId="556701D4">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Chars="0" w:firstLine="480" w:firstLineChars="200"/>
        <w:textAlignment w:val="auto"/>
        <w:rPr>
          <w:rFonts w:hint="default"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乙方已经充分理解并全部接受本合同条款。在本合同履行过程中，不得再对本合同条款的任何约定提出反对或修改意见；若有异议，对所有合同条款、补充协议条款及其它文件之解释权在甲方。</w:t>
      </w:r>
    </w:p>
    <w:p w14:paraId="47338F4E">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0" w:leftChars="0" w:firstLine="482" w:firstLineChars="200"/>
        <w:textAlignment w:val="auto"/>
        <w:outlineLvl w:val="1"/>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bidi="ar-SA"/>
        </w:rPr>
        <w:t xml:space="preserve">第12条 </w:t>
      </w:r>
      <w:r>
        <w:rPr>
          <w:rFonts w:hint="eastAsia" w:ascii="仿宋_GB2312" w:hAnsi="仿宋_GB2312" w:eastAsia="仿宋_GB2312" w:cs="仿宋_GB2312"/>
          <w:b/>
          <w:bCs/>
          <w:kern w:val="0"/>
          <w:sz w:val="24"/>
          <w:szCs w:val="24"/>
          <w:lang w:val="en-US" w:eastAsia="zh-CN"/>
        </w:rPr>
        <w:t>合同生效、终止与违约</w:t>
      </w:r>
    </w:p>
    <w:p w14:paraId="6234862E">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Chars="0" w:firstLine="480" w:firstLineChars="200"/>
        <w:textAlignment w:val="auto"/>
        <w:rPr>
          <w:rFonts w:hint="default"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val="en-US" w:eastAsia="zh-CN"/>
        </w:rPr>
        <w:t>.</w:t>
      </w:r>
      <w:r>
        <w:rPr>
          <w:rFonts w:hint="default" w:ascii="仿宋_GB2312" w:hAnsi="仿宋_GB2312" w:eastAsia="仿宋_GB2312" w:cs="仿宋_GB2312"/>
          <w:kern w:val="0"/>
          <w:sz w:val="24"/>
          <w:szCs w:val="24"/>
          <w:lang w:val="en-US" w:eastAsia="zh-CN"/>
        </w:rPr>
        <w:t>本合同自双方加盖公章之日起生效。乙方监测报告经过各部门确认备案，办理结算后，本合同即终止。</w:t>
      </w:r>
    </w:p>
    <w:p w14:paraId="5FDA8C2F">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r>
        <w:rPr>
          <w:rFonts w:hint="default" w:ascii="仿宋_GB2312" w:hAnsi="仿宋_GB2312" w:eastAsia="仿宋_GB2312" w:cs="仿宋_GB2312"/>
          <w:kern w:val="0"/>
          <w:sz w:val="24"/>
          <w:szCs w:val="24"/>
          <w:lang w:val="en-US" w:eastAsia="zh-CN"/>
        </w:rPr>
        <w:t>在工程合同履行过程中，如因乙方不履行本合同，乙方在收到甲方通知后三天内，必须无条件全部撤离现场。</w:t>
      </w:r>
    </w:p>
    <w:p w14:paraId="005DE5F6">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r>
        <w:rPr>
          <w:rFonts w:hint="default" w:ascii="仿宋_GB2312" w:hAnsi="仿宋_GB2312" w:eastAsia="仿宋_GB2312" w:cs="仿宋_GB2312"/>
          <w:kern w:val="0"/>
          <w:sz w:val="24"/>
          <w:szCs w:val="24"/>
          <w:lang w:val="en-US" w:eastAsia="zh-CN"/>
        </w:rPr>
        <w:t>乙方在本工程之履行过程中不可因任何原因而提出停工，否则按违约处理。如乙方违约，甲方将不付工程款，若因乙方违约造成甲方损失的，乙方应当承担相应赔偿责任。</w:t>
      </w:r>
    </w:p>
    <w:p w14:paraId="3C8F8624">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r>
        <w:rPr>
          <w:rFonts w:hint="default" w:ascii="仿宋_GB2312" w:hAnsi="仿宋_GB2312" w:eastAsia="仿宋_GB2312" w:cs="仿宋_GB2312"/>
          <w:kern w:val="0"/>
          <w:sz w:val="24"/>
          <w:szCs w:val="24"/>
          <w:lang w:val="en-US" w:eastAsia="zh-CN"/>
        </w:rPr>
        <w:t>在工程监测过程中，由于乙方责任出现质量问题、劳资纠纷、拖欠工人工资或者其他原因，受到报纸、电视等媒体的曝光或政府有关主管部门的通报批评，给甲方的形象和声誉造成损失的，每次由乙方向甲方支付人民币 5万元违约金，从乙方当期工程款项中扣除。</w:t>
      </w:r>
    </w:p>
    <w:p w14:paraId="5638F540">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r>
        <w:rPr>
          <w:rFonts w:hint="default" w:ascii="仿宋_GB2312" w:hAnsi="仿宋_GB2312" w:eastAsia="仿宋_GB2312" w:cs="仿宋_GB2312"/>
          <w:kern w:val="0"/>
          <w:sz w:val="24"/>
          <w:szCs w:val="24"/>
          <w:lang w:val="en-US" w:eastAsia="zh-CN"/>
        </w:rPr>
        <w:t>乙方负责现场全部作业的安全，遵循监理和甲方的安全管理。因乙方原因造成自身或第三方人员伤亡以及财产（包括工程本身、设备、材料和施工机械）的损失或损坏，均由乙方承担。</w:t>
      </w:r>
    </w:p>
    <w:p w14:paraId="10F69E90">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r>
        <w:rPr>
          <w:rFonts w:hint="default" w:ascii="仿宋_GB2312" w:hAnsi="仿宋_GB2312" w:eastAsia="仿宋_GB2312" w:cs="仿宋_GB2312"/>
          <w:kern w:val="0"/>
          <w:sz w:val="24"/>
          <w:szCs w:val="24"/>
          <w:lang w:val="en-US" w:eastAsia="zh-CN"/>
        </w:rPr>
        <w:t>因乙方原因导致乙方员工或其分包人员到甲方办公室、售楼处等处围攻、静坐等现象发生的，每发生一次乙方支付甲方违约金人民币2万元。</w:t>
      </w:r>
    </w:p>
    <w:p w14:paraId="7973A482">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360" w:lineRule="auto"/>
        <w:ind w:left="0" w:leftChars="0" w:firstLine="482" w:firstLineChars="200"/>
        <w:jc w:val="both"/>
        <w:textAlignment w:val="auto"/>
        <w:outlineLvl w:val="1"/>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第13条 通知条款</w:t>
      </w:r>
    </w:p>
    <w:p w14:paraId="0D92D9E2">
      <w:pPr>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本合同项下的任何通知或其它正式通讯件应以书面作出，并由给予方或其代表签字。该等通知应专人递交或特快专递送至第13条第2款所列的地址或一方不时另行通知另一方的地址。在每种情况下均应标明第13条第2款中所列的（或根据本合同不时另行通知的）有关收件人。以专人递交或邮寄等方式发出的通知应视为已于下列有效送达：</w:t>
      </w:r>
    </w:p>
    <w:p w14:paraId="549F8E41">
      <w:pPr>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（1）若为专人递交，于递送时；</w:t>
      </w:r>
    </w:p>
    <w:p w14:paraId="0B1F4374">
      <w:pPr>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若为特快专递递交，在付邮日的第三（3）个工作日上午10时；除非比上述时间更早收到，并且若（如为专人递交）交付或发送发生在某工作日的下午6时后或者在非工作日，则应视为于下一个工作日上午9时送达。在本条中提及的时间，均指收件人所在国家或地区的当地时间。</w:t>
      </w:r>
    </w:p>
    <w:p w14:paraId="02161185">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2.为第13条第2款之目的，各方确认地址如下：</w:t>
      </w:r>
    </w:p>
    <w:p w14:paraId="4C55272B">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发包人：【】</w:t>
      </w:r>
    </w:p>
    <w:p w14:paraId="040E7E1E">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地址：</w:t>
      </w:r>
    </w:p>
    <w:p w14:paraId="77BA7FF0">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收件人：【】         手机：【】</w:t>
      </w:r>
    </w:p>
    <w:p w14:paraId="3612BF8A">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承包人：【】</w:t>
      </w:r>
    </w:p>
    <w:p w14:paraId="732AD298">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地址：</w:t>
      </w:r>
    </w:p>
    <w:p w14:paraId="0B048CAB">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收件人：【】       手机：【】</w:t>
      </w:r>
    </w:p>
    <w:p w14:paraId="3CE0E14E">
      <w:pPr>
        <w:keepNext w:val="0"/>
        <w:keepLines w:val="0"/>
        <w:pageBreakBefore w:val="0"/>
        <w:widowControl w:val="0"/>
        <w:numPr>
          <w:ilvl w:val="0"/>
          <w:numId w:val="0"/>
        </w:numPr>
        <w:kinsoku/>
        <w:overflowPunct w:val="0"/>
        <w:topLinePunct w:val="0"/>
        <w:autoSpaceDN/>
        <w:bidi w:val="0"/>
        <w:adjustRightInd w:val="0"/>
        <w:snapToGrid w:val="0"/>
        <w:spacing w:after="0" w:line="360" w:lineRule="auto"/>
        <w:ind w:left="0" w:leftChars="0" w:firstLine="482" w:firstLineChars="200"/>
        <w:jc w:val="both"/>
        <w:outlineLvl w:val="1"/>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第14条 协议份数</w:t>
      </w:r>
    </w:p>
    <w:p w14:paraId="4AFF073C">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本协议一式捌份，双方各执肆份，自签字盖章之日起生效，具有同等效力，由甲乙双方分别保存。</w:t>
      </w:r>
    </w:p>
    <w:p w14:paraId="10C470F6">
      <w:pPr>
        <w:keepNext w:val="0"/>
        <w:keepLines w:val="0"/>
        <w:pageBreakBefore w:val="0"/>
        <w:widowControl w:val="0"/>
        <w:numPr>
          <w:ilvl w:val="0"/>
          <w:numId w:val="0"/>
        </w:numPr>
        <w:kinsoku/>
        <w:overflowPunct w:val="0"/>
        <w:topLinePunct w:val="0"/>
        <w:autoSpaceDN/>
        <w:bidi w:val="0"/>
        <w:adjustRightInd w:val="0"/>
        <w:snapToGrid w:val="0"/>
        <w:spacing w:after="0" w:line="360" w:lineRule="auto"/>
        <w:ind w:left="0" w:leftChars="0" w:firstLine="482" w:firstLineChars="200"/>
        <w:jc w:val="both"/>
        <w:outlineLvl w:val="1"/>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第15条 协议生效</w:t>
      </w:r>
    </w:p>
    <w:p w14:paraId="732561F1">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协议订立时间：</w:t>
      </w:r>
      <w:r>
        <w:rPr>
          <w:rFonts w:hint="eastAsia" w:ascii="仿宋_GB2312" w:hAnsi="仿宋_GB2312" w:eastAsia="仿宋_GB2312" w:cs="仿宋_GB2312"/>
          <w:b w:val="0"/>
          <w:bCs w:val="0"/>
          <w:kern w:val="0"/>
          <w:sz w:val="24"/>
          <w:szCs w:val="24"/>
          <w:u w:val="single"/>
          <w:lang w:val="en-US" w:eastAsia="zh-CN" w:bidi="ar-SA"/>
        </w:rPr>
        <w:t xml:space="preserve">    </w:t>
      </w:r>
      <w:r>
        <w:rPr>
          <w:rFonts w:hint="eastAsia" w:ascii="仿宋_GB2312" w:hAnsi="仿宋_GB2312" w:eastAsia="仿宋_GB2312" w:cs="仿宋_GB2312"/>
          <w:b w:val="0"/>
          <w:bCs w:val="0"/>
          <w:kern w:val="0"/>
          <w:sz w:val="24"/>
          <w:szCs w:val="24"/>
          <w:lang w:val="en-US" w:eastAsia="zh-CN" w:bidi="ar-SA"/>
        </w:rPr>
        <w:t>年</w:t>
      </w:r>
      <w:r>
        <w:rPr>
          <w:rFonts w:hint="eastAsia" w:ascii="仿宋_GB2312" w:hAnsi="仿宋_GB2312" w:eastAsia="仿宋_GB2312" w:cs="仿宋_GB2312"/>
          <w:b w:val="0"/>
          <w:bCs w:val="0"/>
          <w:kern w:val="0"/>
          <w:sz w:val="24"/>
          <w:szCs w:val="24"/>
          <w:u w:val="single"/>
          <w:lang w:val="en-US" w:eastAsia="zh-CN" w:bidi="ar-SA"/>
        </w:rPr>
        <w:t xml:space="preserve">  </w:t>
      </w:r>
      <w:r>
        <w:rPr>
          <w:rFonts w:hint="eastAsia" w:ascii="仿宋_GB2312" w:hAnsi="仿宋_GB2312" w:eastAsia="仿宋_GB2312" w:cs="仿宋_GB2312"/>
          <w:b w:val="0"/>
          <w:bCs w:val="0"/>
          <w:kern w:val="0"/>
          <w:sz w:val="24"/>
          <w:szCs w:val="24"/>
          <w:lang w:val="en-US" w:eastAsia="zh-CN" w:bidi="ar-SA"/>
        </w:rPr>
        <w:t>月</w:t>
      </w:r>
      <w:r>
        <w:rPr>
          <w:rFonts w:hint="eastAsia" w:ascii="仿宋_GB2312" w:hAnsi="仿宋_GB2312" w:eastAsia="仿宋_GB2312" w:cs="仿宋_GB2312"/>
          <w:b w:val="0"/>
          <w:bCs w:val="0"/>
          <w:kern w:val="0"/>
          <w:sz w:val="24"/>
          <w:szCs w:val="24"/>
          <w:u w:val="single"/>
          <w:lang w:val="en-US" w:eastAsia="zh-CN" w:bidi="ar-SA"/>
        </w:rPr>
        <w:t xml:space="preserve">  </w:t>
      </w:r>
      <w:r>
        <w:rPr>
          <w:rFonts w:hint="eastAsia" w:ascii="仿宋_GB2312" w:hAnsi="仿宋_GB2312" w:eastAsia="仿宋_GB2312" w:cs="仿宋_GB2312"/>
          <w:b w:val="0"/>
          <w:bCs w:val="0"/>
          <w:kern w:val="0"/>
          <w:sz w:val="24"/>
          <w:szCs w:val="24"/>
          <w:lang w:val="en-US" w:eastAsia="zh-CN" w:bidi="ar-SA"/>
        </w:rPr>
        <w:t>日；</w:t>
      </w:r>
    </w:p>
    <w:p w14:paraId="58D7F752">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default" w:ascii="仿宋_GB2312" w:hAnsi="仿宋_GB2312" w:eastAsia="仿宋_GB2312" w:cs="仿宋_GB2312"/>
          <w:b w:val="0"/>
          <w:bCs w:val="0"/>
          <w:kern w:val="0"/>
          <w:sz w:val="24"/>
          <w:szCs w:val="24"/>
          <w:u w:val="single"/>
          <w:lang w:val="en-US" w:eastAsia="zh-CN" w:bidi="ar-SA"/>
        </w:rPr>
      </w:pPr>
      <w:r>
        <w:rPr>
          <w:rFonts w:hint="eastAsia" w:ascii="仿宋_GB2312" w:hAnsi="仿宋_GB2312" w:eastAsia="仿宋_GB2312" w:cs="仿宋_GB2312"/>
          <w:b w:val="0"/>
          <w:bCs w:val="0"/>
          <w:kern w:val="0"/>
          <w:sz w:val="24"/>
          <w:szCs w:val="24"/>
          <w:lang w:val="en-US" w:eastAsia="zh-CN" w:bidi="ar-SA"/>
        </w:rPr>
        <w:t>协议订立地点：</w:t>
      </w:r>
      <w:r>
        <w:rPr>
          <w:rFonts w:hint="eastAsia" w:ascii="仿宋_GB2312" w:hAnsi="仿宋_GB2312" w:eastAsia="仿宋_GB2312" w:cs="仿宋_GB2312"/>
          <w:b w:val="0"/>
          <w:bCs w:val="0"/>
          <w:kern w:val="0"/>
          <w:sz w:val="24"/>
          <w:szCs w:val="24"/>
          <w:u w:val="single"/>
          <w:lang w:val="en-US" w:eastAsia="zh-CN" w:bidi="ar-SA"/>
        </w:rPr>
        <w:t xml:space="preserve">              </w:t>
      </w:r>
      <w:r>
        <w:rPr>
          <w:rFonts w:hint="eastAsia" w:ascii="仿宋_GB2312" w:hAnsi="仿宋_GB2312" w:eastAsia="仿宋_GB2312" w:cs="仿宋_GB2312"/>
          <w:b w:val="0"/>
          <w:bCs w:val="0"/>
          <w:kern w:val="0"/>
          <w:sz w:val="24"/>
          <w:szCs w:val="24"/>
          <w:lang w:val="en-US" w:eastAsia="zh-CN" w:bidi="ar-SA"/>
        </w:rPr>
        <w:t>；</w:t>
      </w:r>
    </w:p>
    <w:p w14:paraId="03B77229">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本协议双方约定</w:t>
      </w:r>
      <w:r>
        <w:rPr>
          <w:rFonts w:hint="eastAsia" w:ascii="仿宋_GB2312" w:hAnsi="仿宋_GB2312" w:eastAsia="仿宋_GB2312" w:cs="仿宋_GB2312"/>
          <w:b w:val="0"/>
          <w:bCs w:val="0"/>
          <w:kern w:val="0"/>
          <w:sz w:val="24"/>
          <w:szCs w:val="24"/>
          <w:u w:val="single"/>
          <w:lang w:val="en-US" w:eastAsia="zh-CN" w:bidi="ar-SA"/>
        </w:rPr>
        <w:t xml:space="preserve">   双方盖章签字  </w:t>
      </w:r>
      <w:r>
        <w:rPr>
          <w:rFonts w:hint="eastAsia" w:ascii="仿宋_GB2312" w:hAnsi="仿宋_GB2312" w:eastAsia="仿宋_GB2312" w:cs="仿宋_GB2312"/>
          <w:b w:val="0"/>
          <w:bCs w:val="0"/>
          <w:kern w:val="0"/>
          <w:sz w:val="24"/>
          <w:szCs w:val="24"/>
          <w:lang w:val="en-US" w:eastAsia="zh-CN" w:bidi="ar-SA"/>
        </w:rPr>
        <w:t>后生效。</w:t>
      </w:r>
    </w:p>
    <w:p w14:paraId="4EEEDEE0">
      <w:pPr>
        <w:keepNext w:val="0"/>
        <w:keepLines w:val="0"/>
        <w:pageBreakBefore w:val="0"/>
        <w:widowControl w:val="0"/>
        <w:numPr>
          <w:ilvl w:val="0"/>
          <w:numId w:val="0"/>
        </w:numPr>
        <w:kinsoku/>
        <w:overflowPunct w:val="0"/>
        <w:topLinePunct w:val="0"/>
        <w:autoSpaceDN/>
        <w:bidi w:val="0"/>
        <w:adjustRightInd w:val="0"/>
        <w:snapToGrid w:val="0"/>
        <w:spacing w:after="0" w:line="360" w:lineRule="auto"/>
        <w:ind w:left="0" w:leftChars="0" w:firstLine="482" w:firstLineChars="200"/>
        <w:jc w:val="both"/>
        <w:outlineLvl w:val="1"/>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第16条 合同附件</w:t>
      </w:r>
    </w:p>
    <w:p w14:paraId="26093A29">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附件一：安全生产协议</w:t>
      </w:r>
    </w:p>
    <w:p w14:paraId="74D1DFD9">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附件二：建设工程廉政协议</w:t>
      </w:r>
    </w:p>
    <w:p w14:paraId="7DAB8699">
      <w:pPr>
        <w:keepNext w:val="0"/>
        <w:keepLines w:val="0"/>
        <w:pageBreakBefore w:val="0"/>
        <w:widowControl w:val="0"/>
        <w:kinsoku/>
        <w:overflowPunct w:val="0"/>
        <w:topLinePunct w:val="0"/>
        <w:autoSpaceDN/>
        <w:bidi w:val="0"/>
        <w:adjustRightInd w:val="0"/>
        <w:snapToGrid w:val="0"/>
        <w:spacing w:after="0" w:line="360" w:lineRule="auto"/>
        <w:ind w:left="0" w:lef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附件三：施工单位履约考核实施细则</w:t>
      </w:r>
    </w:p>
    <w:p w14:paraId="1D84DBA4">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jc w:val="left"/>
        <w:textAlignment w:val="top"/>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附件四：南昌航空大学综合科研大楼项目基坑监测/沉降观测预估工程量</w:t>
      </w:r>
    </w:p>
    <w:p w14:paraId="087CDF8A">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jc w:val="left"/>
        <w:textAlignment w:val="top"/>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附件五：投标报价清单</w:t>
      </w:r>
    </w:p>
    <w:p w14:paraId="7A53F900">
      <w:pPr>
        <w:keepNext w:val="0"/>
        <w:keepLines w:val="0"/>
        <w:pageBreakBefore w:val="0"/>
        <w:widowControl w:val="0"/>
        <w:kinsoku/>
        <w:overflowPunct w:val="0"/>
        <w:topLinePunct w:val="0"/>
        <w:autoSpaceDN/>
        <w:bidi w:val="0"/>
        <w:adjustRightInd w:val="0"/>
        <w:snapToGrid w:val="0"/>
        <w:spacing w:line="360" w:lineRule="auto"/>
        <w:ind w:left="0" w:leftChars="0" w:firstLine="480" w:firstLineChars="200"/>
        <w:jc w:val="left"/>
        <w:textAlignment w:val="top"/>
        <w:rPr>
          <w:rFonts w:hint="eastAsia" w:ascii="仿宋_GB2312" w:hAnsi="仿宋_GB2312" w:eastAsia="仿宋_GB2312" w:cs="仿宋_GB2312"/>
          <w:kern w:val="0"/>
          <w:sz w:val="24"/>
          <w:szCs w:val="24"/>
          <w:lang w:val="en-US" w:eastAsia="zh-CN"/>
        </w:rPr>
      </w:pPr>
    </w:p>
    <w:p w14:paraId="663404B7">
      <w:pPr>
        <w:keepNext w:val="0"/>
        <w:keepLines w:val="0"/>
        <w:pageBreakBefore w:val="0"/>
        <w:widowControl w:val="0"/>
        <w:kinsoku/>
        <w:overflowPunct w:val="0"/>
        <w:topLinePunct w:val="0"/>
        <w:autoSpaceDN/>
        <w:bidi w:val="0"/>
        <w:adjustRightInd w:val="0"/>
        <w:snapToGrid w:val="0"/>
        <w:spacing w:line="360" w:lineRule="auto"/>
        <w:ind w:left="0" w:leftChars="0" w:firstLine="482" w:firstLineChars="200"/>
        <w:jc w:val="left"/>
        <w:textAlignment w:val="top"/>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（以下无正文）</w:t>
      </w:r>
    </w:p>
    <w:tbl>
      <w:tblPr>
        <w:tblStyle w:val="4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522C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4" w:type="dxa"/>
            <w:vAlign w:val="center"/>
          </w:tcPr>
          <w:p w14:paraId="51E2E15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甲方名称(加盖公章)：</w:t>
            </w:r>
          </w:p>
        </w:tc>
        <w:tc>
          <w:tcPr>
            <w:tcW w:w="4474" w:type="dxa"/>
            <w:vAlign w:val="center"/>
          </w:tcPr>
          <w:p w14:paraId="560E015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乙方名称(加盖公章)：</w:t>
            </w:r>
          </w:p>
        </w:tc>
      </w:tr>
      <w:tr w14:paraId="7CB2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4" w:type="dxa"/>
            <w:vAlign w:val="center"/>
          </w:tcPr>
          <w:p w14:paraId="0A07ECD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法定代表人(签署)：</w:t>
            </w:r>
          </w:p>
        </w:tc>
        <w:tc>
          <w:tcPr>
            <w:tcW w:w="4474" w:type="dxa"/>
            <w:vAlign w:val="center"/>
          </w:tcPr>
          <w:p w14:paraId="534A98E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法定代表人(签署)：</w:t>
            </w:r>
          </w:p>
        </w:tc>
      </w:tr>
      <w:tr w14:paraId="4E68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4" w:type="dxa"/>
            <w:vAlign w:val="center"/>
          </w:tcPr>
          <w:p w14:paraId="37A0C90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或授权代表(签署)：</w:t>
            </w:r>
          </w:p>
        </w:tc>
        <w:tc>
          <w:tcPr>
            <w:tcW w:w="4474" w:type="dxa"/>
            <w:vAlign w:val="center"/>
          </w:tcPr>
          <w:p w14:paraId="7D8EEA0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或授权代表(签署)：</w:t>
            </w:r>
          </w:p>
        </w:tc>
      </w:tr>
      <w:tr w14:paraId="0C15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4" w:type="dxa"/>
            <w:vAlign w:val="center"/>
          </w:tcPr>
          <w:p w14:paraId="6D9BACB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时间 ：</w:t>
            </w:r>
          </w:p>
        </w:tc>
        <w:tc>
          <w:tcPr>
            <w:tcW w:w="4474" w:type="dxa"/>
            <w:vAlign w:val="center"/>
          </w:tcPr>
          <w:p w14:paraId="377F8FE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时间 ：</w:t>
            </w:r>
          </w:p>
        </w:tc>
      </w:tr>
      <w:tr w14:paraId="532F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4" w:type="dxa"/>
            <w:vAlign w:val="center"/>
          </w:tcPr>
          <w:p w14:paraId="23F7F14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电话：</w:t>
            </w:r>
          </w:p>
        </w:tc>
        <w:tc>
          <w:tcPr>
            <w:tcW w:w="4474" w:type="dxa"/>
            <w:vAlign w:val="center"/>
          </w:tcPr>
          <w:p w14:paraId="3F30FE9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电话：</w:t>
            </w:r>
          </w:p>
        </w:tc>
      </w:tr>
    </w:tbl>
    <w:p w14:paraId="4087C08A">
      <w:pPr>
        <w:keepNext w:val="0"/>
        <w:keepLines w:val="0"/>
        <w:pageBreakBefore w:val="0"/>
        <w:widowControl w:val="0"/>
        <w:kinsoku/>
        <w:topLinePunct w:val="0"/>
        <w:autoSpaceDN/>
        <w:bidi w:val="0"/>
        <w:adjustRightInd w:val="0"/>
        <w:snapToGrid w:val="0"/>
        <w:ind w:left="0" w:leftChars="0"/>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br w:type="page"/>
      </w:r>
    </w:p>
    <w:p w14:paraId="21AD0213">
      <w:pPr>
        <w:outlineLvl w:val="1"/>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附件一：安全生产协议</w:t>
      </w:r>
    </w:p>
    <w:p w14:paraId="62AFB2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安全生产协议</w:t>
      </w:r>
    </w:p>
    <w:p w14:paraId="79A435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甲方：</w:t>
      </w:r>
      <w:r>
        <w:rPr>
          <w:rFonts w:hint="eastAsia" w:ascii="仿宋_GB2312" w:hAnsi="仿宋_GB2312" w:eastAsia="仿宋_GB2312" w:cs="仿宋_GB2312"/>
          <w:bCs/>
          <w:kern w:val="2"/>
          <w:sz w:val="24"/>
          <w:szCs w:val="24"/>
          <w:u w:val="single"/>
          <w:lang w:val="en-US" w:eastAsia="zh-CN"/>
        </w:rPr>
        <w:t xml:space="preserve">                            </w:t>
      </w:r>
      <w:r>
        <w:rPr>
          <w:rFonts w:hint="eastAsia" w:ascii="仿宋_GB2312" w:hAnsi="仿宋_GB2312" w:eastAsia="仿宋_GB2312" w:cs="仿宋_GB2312"/>
          <w:bCs/>
          <w:kern w:val="2"/>
          <w:sz w:val="24"/>
          <w:szCs w:val="24"/>
        </w:rPr>
        <w:t>（以下简称：甲方）</w:t>
      </w:r>
    </w:p>
    <w:p w14:paraId="0B120D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乙方：</w:t>
      </w:r>
      <w:r>
        <w:rPr>
          <w:rFonts w:hint="eastAsia" w:ascii="仿宋_GB2312" w:hAnsi="仿宋_GB2312" w:eastAsia="仿宋_GB2312" w:cs="仿宋_GB2312"/>
          <w:bCs/>
          <w:kern w:val="2"/>
          <w:sz w:val="24"/>
          <w:szCs w:val="24"/>
          <w:u w:val="single"/>
          <w:lang w:val="en-US" w:eastAsia="zh-CN"/>
        </w:rPr>
        <w:t xml:space="preserve">                            </w:t>
      </w:r>
      <w:r>
        <w:rPr>
          <w:rFonts w:hint="eastAsia" w:ascii="仿宋_GB2312" w:hAnsi="仿宋_GB2312" w:eastAsia="仿宋_GB2312" w:cs="仿宋_GB2312"/>
          <w:bCs/>
          <w:kern w:val="2"/>
          <w:sz w:val="24"/>
          <w:szCs w:val="24"/>
        </w:rPr>
        <w:t>（以下简称：乙方）</w:t>
      </w:r>
    </w:p>
    <w:p w14:paraId="6625B1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鉴于乙方将承建由甲方投资建设的</w:t>
      </w:r>
      <w:r>
        <w:rPr>
          <w:rFonts w:hint="eastAsia" w:ascii="仿宋_GB2312" w:hAnsi="仿宋_GB2312" w:eastAsia="仿宋_GB2312" w:cs="仿宋_GB2312"/>
          <w:kern w:val="2"/>
          <w:sz w:val="24"/>
          <w:szCs w:val="24"/>
          <w:lang w:eastAsia="zh-CN"/>
        </w:rPr>
        <w:t>南昌航空大学综合科研大楼项目基坑监测及沉降观测</w:t>
      </w:r>
      <w:r>
        <w:rPr>
          <w:rFonts w:hint="eastAsia" w:ascii="仿宋_GB2312" w:hAnsi="仿宋_GB2312" w:eastAsia="仿宋_GB2312" w:cs="仿宋_GB2312"/>
          <w:bCs/>
          <w:kern w:val="2"/>
          <w:sz w:val="24"/>
          <w:szCs w:val="24"/>
        </w:rPr>
        <w:t>（以下简称：“本工程”），且甲方已获得本工程相关的开发手续；同时，乙方同意按照</w:t>
      </w:r>
      <w:r>
        <w:rPr>
          <w:rFonts w:hint="eastAsia" w:ascii="仿宋_GB2312" w:hAnsi="仿宋_GB2312" w:eastAsia="仿宋_GB2312" w:cs="仿宋_GB2312"/>
          <w:kern w:val="2"/>
          <w:sz w:val="24"/>
          <w:szCs w:val="24"/>
          <w:lang w:eastAsia="zh-CN"/>
        </w:rPr>
        <w:t>南昌航空大学综合科研大楼项目基坑监测及沉降观测</w:t>
      </w:r>
      <w:r>
        <w:rPr>
          <w:rFonts w:hint="eastAsia" w:ascii="仿宋_GB2312" w:hAnsi="仿宋_GB2312" w:eastAsia="仿宋_GB2312" w:cs="仿宋_GB2312"/>
          <w:kern w:val="2"/>
          <w:sz w:val="24"/>
          <w:szCs w:val="24"/>
        </w:rPr>
        <w:t>合同</w:t>
      </w:r>
      <w:r>
        <w:rPr>
          <w:rFonts w:hint="eastAsia" w:ascii="仿宋_GB2312" w:hAnsi="仿宋_GB2312" w:eastAsia="仿宋_GB2312" w:cs="仿宋_GB2312"/>
          <w:bCs/>
          <w:kern w:val="2"/>
          <w:sz w:val="24"/>
          <w:szCs w:val="24"/>
        </w:rPr>
        <w:t>（以下简称：《承包合同》）的合同文件的要求履行其责任和义务，并保证以诚信、敬业和积极的态度保证本工程的圆满竣工；依照中华人民共和国相关法律、法规和规章等文件的规定，经双方友好协商，达成本协议如下：</w:t>
      </w:r>
    </w:p>
    <w:p w14:paraId="122792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一、本协议适用法律</w:t>
      </w:r>
    </w:p>
    <w:p w14:paraId="2EAF8E10">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本协议适用中华人民共和国法律、行政法规及</w:t>
      </w:r>
      <w:r>
        <w:rPr>
          <w:rFonts w:hint="eastAsia" w:ascii="仿宋_GB2312" w:hAnsi="仿宋_GB2312" w:eastAsia="仿宋_GB2312" w:cs="仿宋_GB2312"/>
          <w:bCs/>
          <w:kern w:val="2"/>
          <w:sz w:val="24"/>
          <w:szCs w:val="24"/>
          <w:lang w:val="en-US" w:eastAsia="zh-CN" w:bidi="ar-SA"/>
        </w:rPr>
        <w:t>南昌</w:t>
      </w:r>
      <w:r>
        <w:rPr>
          <w:rFonts w:hint="eastAsia" w:ascii="仿宋_GB2312" w:hAnsi="仿宋_GB2312" w:eastAsia="仿宋_GB2312" w:cs="仿宋_GB2312"/>
          <w:kern w:val="2"/>
          <w:sz w:val="24"/>
          <w:szCs w:val="24"/>
          <w:lang w:val="en-US" w:eastAsia="zh-CN" w:bidi="ar-SA"/>
        </w:rPr>
        <w:t>市地方法规。中华人民共和国及南昌市建设行政主管部门和其他有关主管部门制定的行政规章和规范性文件也适用于本协议。</w:t>
      </w:r>
    </w:p>
    <w:p w14:paraId="0CEA44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 xml:space="preserve">二、文件的组成及解释顺序  </w:t>
      </w:r>
    </w:p>
    <w:p w14:paraId="6A047C64">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本协议是作为《</w:t>
      </w:r>
      <w:r>
        <w:rPr>
          <w:rFonts w:hint="eastAsia" w:ascii="仿宋_GB2312" w:hAnsi="仿宋_GB2312" w:eastAsia="仿宋_GB2312" w:cs="仿宋_GB2312"/>
          <w:bCs/>
          <w:kern w:val="2"/>
          <w:sz w:val="24"/>
          <w:szCs w:val="24"/>
          <w:lang w:val="en-US" w:eastAsia="zh-CN" w:bidi="ar-SA"/>
        </w:rPr>
        <w:t>承包合同》的</w:t>
      </w:r>
      <w:r>
        <w:rPr>
          <w:rFonts w:hint="eastAsia" w:ascii="仿宋_GB2312" w:hAnsi="仿宋_GB2312" w:eastAsia="仿宋_GB2312" w:cs="仿宋_GB2312"/>
          <w:kern w:val="2"/>
          <w:sz w:val="24"/>
          <w:szCs w:val="24"/>
          <w:lang w:val="en-US" w:eastAsia="zh-CN" w:bidi="ar-SA"/>
        </w:rPr>
        <w:t>说明和相互补充。如果本协议与《</w:t>
      </w:r>
      <w:r>
        <w:rPr>
          <w:rFonts w:hint="eastAsia" w:ascii="仿宋_GB2312" w:hAnsi="仿宋_GB2312" w:eastAsia="仿宋_GB2312" w:cs="仿宋_GB2312"/>
          <w:bCs/>
          <w:kern w:val="2"/>
          <w:sz w:val="24"/>
          <w:szCs w:val="24"/>
          <w:lang w:val="en-US" w:eastAsia="zh-CN" w:bidi="ar-SA"/>
        </w:rPr>
        <w:t>承包合同》</w:t>
      </w:r>
      <w:r>
        <w:rPr>
          <w:rFonts w:hint="eastAsia" w:ascii="仿宋_GB2312" w:hAnsi="仿宋_GB2312" w:eastAsia="仿宋_GB2312" w:cs="仿宋_GB2312"/>
          <w:kern w:val="2"/>
          <w:sz w:val="24"/>
          <w:szCs w:val="24"/>
          <w:lang w:val="en-US" w:eastAsia="zh-CN" w:bidi="ar-SA"/>
        </w:rPr>
        <w:t>文件之间出现歧义或相互矛盾，或《</w:t>
      </w:r>
      <w:r>
        <w:rPr>
          <w:rFonts w:hint="eastAsia" w:ascii="仿宋_GB2312" w:hAnsi="仿宋_GB2312" w:eastAsia="仿宋_GB2312" w:cs="仿宋_GB2312"/>
          <w:bCs/>
          <w:kern w:val="2"/>
          <w:sz w:val="24"/>
          <w:szCs w:val="24"/>
          <w:lang w:val="en-US" w:eastAsia="zh-CN" w:bidi="ar-SA"/>
        </w:rPr>
        <w:t>承包合同》</w:t>
      </w:r>
      <w:r>
        <w:rPr>
          <w:rFonts w:hint="eastAsia" w:ascii="仿宋_GB2312" w:hAnsi="仿宋_GB2312" w:eastAsia="仿宋_GB2312" w:cs="仿宋_GB2312"/>
          <w:kern w:val="2"/>
          <w:sz w:val="24"/>
          <w:szCs w:val="24"/>
          <w:lang w:val="en-US" w:eastAsia="zh-CN" w:bidi="ar-SA"/>
        </w:rPr>
        <w:t>文件中出现明显错误时，应以本协议</w:t>
      </w:r>
      <w:r>
        <w:rPr>
          <w:rFonts w:hint="eastAsia" w:ascii="仿宋_GB2312" w:hAnsi="仿宋_GB2312" w:eastAsia="仿宋_GB2312" w:cs="仿宋_GB2312"/>
          <w:bCs/>
          <w:kern w:val="2"/>
          <w:sz w:val="24"/>
          <w:szCs w:val="24"/>
          <w:lang w:val="en-US" w:eastAsia="zh-CN" w:bidi="ar-SA"/>
        </w:rPr>
        <w:t>为准</w:t>
      </w:r>
      <w:r>
        <w:rPr>
          <w:rFonts w:hint="eastAsia" w:ascii="仿宋_GB2312" w:hAnsi="仿宋_GB2312" w:eastAsia="仿宋_GB2312" w:cs="仿宋_GB2312"/>
          <w:kern w:val="2"/>
          <w:sz w:val="24"/>
          <w:szCs w:val="24"/>
          <w:lang w:val="en-US" w:eastAsia="zh-CN" w:bidi="ar-SA"/>
        </w:rPr>
        <w:t>。在本协议的履行过程中，双方签署同意的与本协议订立或履行有关的协议、信函、备忘录等亦构成《</w:t>
      </w:r>
      <w:r>
        <w:rPr>
          <w:rFonts w:hint="eastAsia" w:ascii="仿宋_GB2312" w:hAnsi="仿宋_GB2312" w:eastAsia="仿宋_GB2312" w:cs="仿宋_GB2312"/>
          <w:bCs/>
          <w:kern w:val="2"/>
          <w:sz w:val="24"/>
          <w:szCs w:val="24"/>
          <w:lang w:val="en-US" w:eastAsia="zh-CN" w:bidi="ar-SA"/>
        </w:rPr>
        <w:t>承包合同》</w:t>
      </w:r>
      <w:r>
        <w:rPr>
          <w:rFonts w:hint="eastAsia" w:ascii="仿宋_GB2312" w:hAnsi="仿宋_GB2312" w:eastAsia="仿宋_GB2312" w:cs="仿宋_GB2312"/>
          <w:kern w:val="2"/>
          <w:sz w:val="24"/>
          <w:szCs w:val="24"/>
          <w:lang w:val="en-US" w:eastAsia="zh-CN" w:bidi="ar-SA"/>
        </w:rPr>
        <w:t>组成部分，具有同等法律效力。</w:t>
      </w:r>
    </w:p>
    <w:p w14:paraId="030A2A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三、安全施工、生产</w:t>
      </w:r>
    </w:p>
    <w:p w14:paraId="70B1B8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甲方权利：</w:t>
      </w:r>
    </w:p>
    <w:p w14:paraId="096F1873">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一</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对于乙方违反《中华人民共和国安全生产法》（以下简称：《安全生产法》）及其他有关安全生产的法律、法规、标准、规范的行为，甲方有权要求乙方予以整改。</w:t>
      </w:r>
    </w:p>
    <w:p w14:paraId="5D4E292B">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二</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对于乙方未严格落实本协议约定责任的，甲方有权限期整改、予以处罚直至中止合同。</w:t>
      </w:r>
    </w:p>
    <w:p w14:paraId="5FC78439">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三</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对于乙方的安全生产及其管理情况，甲方具有知情权、检查权、处罚权。</w:t>
      </w:r>
    </w:p>
    <w:p w14:paraId="525A1C52">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四</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甲方有权参加项目安全生产例会和工程监理会。</w:t>
      </w:r>
    </w:p>
    <w:p w14:paraId="1F6E58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乙方对本工程的安全生产负全责：</w:t>
      </w:r>
    </w:p>
    <w:p w14:paraId="42217F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SA"/>
        </w:rPr>
        <w:t>(一)</w:t>
      </w:r>
      <w:r>
        <w:rPr>
          <w:rFonts w:hint="eastAsia" w:ascii="仿宋_GB2312" w:hAnsi="仿宋_GB2312" w:eastAsia="仿宋_GB2312" w:cs="仿宋_GB2312"/>
          <w:kern w:val="2"/>
          <w:sz w:val="24"/>
          <w:szCs w:val="24"/>
        </w:rPr>
        <w:t>企业资质及相关资格要求：</w:t>
      </w:r>
    </w:p>
    <w:p w14:paraId="52D37224">
      <w:pPr>
        <w:keepNext w:val="0"/>
        <w:keepLines w:val="0"/>
        <w:pageBreakBefore w:val="0"/>
        <w:widowControl w:val="0"/>
        <w:numPr>
          <w:ilvl w:val="1"/>
          <w:numId w:val="0"/>
        </w:numPr>
        <w:tabs>
          <w:tab w:val="left" w:pos="126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rPr>
        <w:t>乙方作为本工程的承包单位，应具备《中华人民共和国建筑法》第二十六条：“承包建筑工程的单位应当持有依法取得的资质证书，并在其资质等级许可的业务范围内承揽工程。”规定的有效资质。必须具备有效的安全生产许可证。</w:t>
      </w:r>
    </w:p>
    <w:p w14:paraId="0C285D89">
      <w:pPr>
        <w:keepNext w:val="0"/>
        <w:keepLines w:val="0"/>
        <w:pageBreakBefore w:val="0"/>
        <w:widowControl w:val="0"/>
        <w:numPr>
          <w:ilvl w:val="1"/>
          <w:numId w:val="0"/>
        </w:numPr>
        <w:tabs>
          <w:tab w:val="left" w:pos="1260"/>
          <w:tab w:val="left" w:pos="216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kern w:val="2"/>
          <w:sz w:val="24"/>
          <w:szCs w:val="24"/>
        </w:rPr>
        <w:t>乙方安全人员配置：乙方应当成立由项目经理负责的安全生产管理机构，如果项目经理不能保证每天在施工现场，应书面委托一位项目副经理主抓安全生产工作。</w:t>
      </w:r>
    </w:p>
    <w:p w14:paraId="394D3304">
      <w:pPr>
        <w:keepNext w:val="0"/>
        <w:keepLines w:val="0"/>
        <w:pageBreakBefore w:val="0"/>
        <w:widowControl w:val="0"/>
        <w:numPr>
          <w:ilvl w:val="1"/>
          <w:numId w:val="0"/>
        </w:numPr>
        <w:tabs>
          <w:tab w:val="left" w:pos="126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kern w:val="2"/>
          <w:sz w:val="24"/>
          <w:szCs w:val="24"/>
        </w:rPr>
        <w:t>乙方垂直运输机械作业人员、安装拆卸工、爆破作业人员、起重信号工、登高架设作业人员、电工、电焊工等特种作业人员，必须按照国家有关规定经过专门的安全作业培训，并取得特种作业操作资格证书后，方可上岗作业。乙方保证甲方免于任何因乙方违章使用未取得特种作业操作资格证书的人员从事特种作业而导致的任何损失或责任。</w:t>
      </w:r>
    </w:p>
    <w:p w14:paraId="19FE96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SA"/>
        </w:rPr>
        <w:t>(二)</w:t>
      </w:r>
      <w:r>
        <w:rPr>
          <w:rFonts w:hint="eastAsia" w:ascii="仿宋_GB2312" w:hAnsi="仿宋_GB2312" w:eastAsia="仿宋_GB2312" w:cs="仿宋_GB2312"/>
          <w:kern w:val="2"/>
          <w:sz w:val="24"/>
          <w:szCs w:val="24"/>
        </w:rPr>
        <w:t>依法组织施工：</w:t>
      </w:r>
    </w:p>
    <w:p w14:paraId="4FEE8E03">
      <w:pPr>
        <w:keepNext w:val="0"/>
        <w:keepLines w:val="0"/>
        <w:pageBreakBefore w:val="0"/>
        <w:widowControl w:val="0"/>
        <w:numPr>
          <w:ilvl w:val="2"/>
          <w:numId w:val="0"/>
        </w:numPr>
        <w:tabs>
          <w:tab w:val="left" w:pos="126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rPr>
        <w:t>乙方须在整个合同履约期内，遵守有关安全生产的法律、法规、规范、规章和规范性文件等的要求或规定，并遵循国家颁布的《安全生产法》，依法组织施工。</w:t>
      </w:r>
    </w:p>
    <w:p w14:paraId="74885667">
      <w:pPr>
        <w:keepNext w:val="0"/>
        <w:keepLines w:val="0"/>
        <w:pageBreakBefore w:val="0"/>
        <w:widowControl w:val="0"/>
        <w:numPr>
          <w:ilvl w:val="2"/>
          <w:numId w:val="0"/>
        </w:numPr>
        <w:tabs>
          <w:tab w:val="left" w:pos="126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b/>
          <w:kern w:val="2"/>
          <w:sz w:val="24"/>
          <w:szCs w:val="24"/>
        </w:rPr>
        <w:t>乙方对施工现场的安全文明生产负全责。</w:t>
      </w:r>
      <w:r>
        <w:rPr>
          <w:rFonts w:hint="eastAsia" w:ascii="仿宋_GB2312" w:hAnsi="仿宋_GB2312" w:eastAsia="仿宋_GB2312" w:cs="仿宋_GB2312"/>
          <w:kern w:val="2"/>
          <w:sz w:val="24"/>
          <w:szCs w:val="24"/>
        </w:rPr>
        <w:t>乙方严禁违法分包或转包本工程。对于因乙方违法分包或转包本工程而导致生产安全事故的由乙方承担全部损失和责任。</w:t>
      </w:r>
    </w:p>
    <w:p w14:paraId="283303DB">
      <w:pPr>
        <w:keepNext w:val="0"/>
        <w:keepLines w:val="0"/>
        <w:pageBreakBefore w:val="0"/>
        <w:widowControl w:val="0"/>
        <w:numPr>
          <w:ilvl w:val="2"/>
          <w:numId w:val="0"/>
        </w:numPr>
        <w:tabs>
          <w:tab w:val="left" w:pos="144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乙方应根据有关法律、法规、规定和条例等的要求，制定一套安全生产应急措施和程序，保证一旦出现任何安全事故，能立即保护好现场，抢救所有伤员，保证施工生产的正常进行，防止损失扩大，并立即向甲方和监理工程师报告和以事故报告的形式向有关政府部门或管理机构报告。</w:t>
      </w:r>
    </w:p>
    <w:p w14:paraId="5FEDFA12">
      <w:pPr>
        <w:keepNext w:val="0"/>
        <w:keepLines w:val="0"/>
        <w:pageBreakBefore w:val="0"/>
        <w:widowControl w:val="0"/>
        <w:numPr>
          <w:ilvl w:val="2"/>
          <w:numId w:val="0"/>
        </w:numPr>
        <w:tabs>
          <w:tab w:val="left" w:pos="144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乙方必须按合同约定按时支付劳务用工人员工资，因乙方拖欠劳务用工人员工资而引发的劳务用工人员滋事、围攻、游行示威、伤亡事件所造成的工程延期及其它经济损失和负面影响，以及因此受到行政主管部门处罚或追究行事责任由乙方承担全部责任。</w:t>
      </w:r>
    </w:p>
    <w:p w14:paraId="504BE7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（三）安全文明施工</w:t>
      </w:r>
    </w:p>
    <w:p w14:paraId="6E1571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（1）本工程施工现场应按照《建筑工程安全生产管理条例》及本地区省、市建设行政主管部门创建文明安全工地的标准和要求进行文明安全施工管理，包括有关设施的设置、办法的制定与实施和资料的准备等。</w:t>
      </w:r>
    </w:p>
    <w:p w14:paraId="6949CB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（2）乙方应充分认识本工程所处地理位置，保证本工程的施工始终严格依照不低于本地区省、市建设行政主管部门有关安全文明施工的各项标准和规定。 </w:t>
      </w:r>
    </w:p>
    <w:p w14:paraId="1CCCA42A">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kern w:val="2"/>
          <w:sz w:val="24"/>
          <w:szCs w:val="24"/>
        </w:rPr>
        <w:t>任何情况下，乙方应保证在永久工程和临时工程中不得使用任何对人体或环境有害的材料，也不得在永久性工程中使用政府虽未明令禁止但会给居住或使用人带来不适感觉或味觉的任何材料和添加剂。所有施工材料必须使用符合环保要求的材料。</w:t>
      </w:r>
    </w:p>
    <w:p w14:paraId="433BA67A">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SA"/>
        </w:rPr>
        <w:t>（4）</w:t>
      </w:r>
      <w:r>
        <w:rPr>
          <w:rFonts w:hint="eastAsia" w:ascii="仿宋_GB2312" w:hAnsi="仿宋_GB2312" w:eastAsia="仿宋_GB2312" w:cs="仿宋_GB2312"/>
          <w:kern w:val="2"/>
          <w:sz w:val="24"/>
          <w:szCs w:val="24"/>
        </w:rPr>
        <w:t>乙方应在其项目质量保证计划中明确防止误用的保证措施，如果乙方违背此项约定的责任，任何后果由乙方完全负责。</w:t>
      </w:r>
    </w:p>
    <w:p w14:paraId="2D400E50">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SA"/>
        </w:rPr>
        <w:t>（5）</w:t>
      </w:r>
      <w:r>
        <w:rPr>
          <w:rFonts w:hint="eastAsia" w:ascii="仿宋_GB2312" w:hAnsi="仿宋_GB2312" w:eastAsia="仿宋_GB2312" w:cs="仿宋_GB2312"/>
          <w:kern w:val="2"/>
          <w:sz w:val="24"/>
          <w:szCs w:val="24"/>
        </w:rPr>
        <w:t>一切所需的有关施工场地交通、环卫和施工噪音管理等手续，由乙方负责办理全部施工工程手续，并承担相应责任。</w:t>
      </w:r>
    </w:p>
    <w:p w14:paraId="06E2033A">
      <w:pPr>
        <w:keepNext w:val="0"/>
        <w:keepLines w:val="0"/>
        <w:pageBreakBefore w:val="0"/>
        <w:widowControl w:val="0"/>
        <w:numPr>
          <w:ilvl w:val="1"/>
          <w:numId w:val="0"/>
        </w:numPr>
        <w:tabs>
          <w:tab w:val="left" w:pos="216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SA"/>
        </w:rPr>
        <w:t>（6）</w:t>
      </w:r>
      <w:r>
        <w:rPr>
          <w:rFonts w:hint="eastAsia" w:ascii="仿宋_GB2312" w:hAnsi="仿宋_GB2312" w:eastAsia="仿宋_GB2312" w:cs="仿宋_GB2312"/>
          <w:kern w:val="2"/>
          <w:sz w:val="24"/>
          <w:szCs w:val="24"/>
        </w:rPr>
        <w:t>竣工验收须经过室内环境检验测试，检验单位须是省、市质检站认可的单位，其检验结果同时提交甲方和总监理工程师，所需费用由乙方负责。</w:t>
      </w:r>
    </w:p>
    <w:p w14:paraId="42D95AE0">
      <w:pPr>
        <w:keepNext w:val="0"/>
        <w:keepLines w:val="0"/>
        <w:pageBreakBefore w:val="0"/>
        <w:widowControl w:val="0"/>
        <w:numPr>
          <w:ilvl w:val="2"/>
          <w:numId w:val="0"/>
        </w:numPr>
        <w:tabs>
          <w:tab w:val="left" w:pos="144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SA"/>
        </w:rPr>
        <w:t>5、</w:t>
      </w:r>
      <w:r>
        <w:rPr>
          <w:rFonts w:hint="eastAsia" w:ascii="仿宋_GB2312" w:hAnsi="仿宋_GB2312" w:eastAsia="仿宋_GB2312" w:cs="仿宋_GB2312"/>
          <w:kern w:val="2"/>
          <w:sz w:val="24"/>
          <w:szCs w:val="24"/>
        </w:rPr>
        <w:t>在对本协议内容及有关安全生产法规明确无误，并对安全生产的责任风险已有充分预见的基础上，乙方承诺，乙方在施工期间对施工现场的安全生产负全责（包括所有分包工程的安全生产），施工期间如施工现场或因施工发生的责任事故，包括造成的经济损失，人员伤亡，以及由此导致的民事、行政、刑事责任均由乙方承担。</w:t>
      </w:r>
    </w:p>
    <w:p w14:paraId="738BC8F8">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四</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 xml:space="preserve">事故报告:  </w:t>
      </w:r>
    </w:p>
    <w:p w14:paraId="510560ED">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旦发生任何事故，乙方应尽快向甲方报告事故的详情。此外，在发生任何死亡或重大事故时，乙方应立即用最快的可行方法通知甲方、监理工程师以及任何按照法律、行政法规或规章必须向其报告的有关行政主管部门。</w:t>
      </w:r>
    </w:p>
    <w:p w14:paraId="541890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四、乙方应于本协议书签订之日起十日内，将施工资质（复印件）、安全生产许可证（复印件），施工现场责任人、管理人员、专职安全生产管理人员、工程技术人员、特殊工种人员及工人基本情况以书面形式提供给甲方，并将上述人员资格证书（复印件）报甲方备案。</w:t>
      </w:r>
    </w:p>
    <w:p w14:paraId="0615EC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五、乙方应于本协议书签订之日起十日内，向甲方提交工程施工组织表和依照相关法律、法规、规定编制的施工现场安全、消防、防汛、治安、卫生、传染病预防等管理制度、防护方案及应急预案。遇“两会”、节假日，乙方应向甲方提供节假日值班安排。</w:t>
      </w:r>
    </w:p>
    <w:p w14:paraId="71FBA9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六、双方确认，本工程的安全生产事宜，本协议有约定的，以约定为准；本协议未作约定的，以《安全生产法》及其他有关安全生产的法律、法规、标准、规范的相关内容为准。</w:t>
      </w:r>
    </w:p>
    <w:p w14:paraId="58BEF2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七、本协议份数及生效日期：本协议一式捌份，甲方执陆份，乙方执贰份自甲乙双方签字盖章之日起生效，其有效期至本工程竣工并全部交付甲方之日止。</w:t>
      </w:r>
    </w:p>
    <w:p w14:paraId="1F971F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Cs/>
          <w:kern w:val="2"/>
          <w:sz w:val="24"/>
          <w:szCs w:val="24"/>
        </w:rPr>
      </w:pPr>
    </w:p>
    <w:tbl>
      <w:tblPr>
        <w:tblStyle w:val="4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5065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4" w:type="dxa"/>
            <w:vAlign w:val="center"/>
          </w:tcPr>
          <w:p w14:paraId="62A5D24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甲方名称(加盖公章)：</w:t>
            </w:r>
          </w:p>
        </w:tc>
        <w:tc>
          <w:tcPr>
            <w:tcW w:w="4474" w:type="dxa"/>
            <w:vAlign w:val="center"/>
          </w:tcPr>
          <w:p w14:paraId="662A6A1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乙方名称(加盖公章)：</w:t>
            </w:r>
          </w:p>
        </w:tc>
      </w:tr>
      <w:tr w14:paraId="5C88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4" w:type="dxa"/>
            <w:vAlign w:val="center"/>
          </w:tcPr>
          <w:p w14:paraId="33AA3E6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法定代表人(签署)：</w:t>
            </w:r>
          </w:p>
        </w:tc>
        <w:tc>
          <w:tcPr>
            <w:tcW w:w="4474" w:type="dxa"/>
            <w:vAlign w:val="center"/>
          </w:tcPr>
          <w:p w14:paraId="3287549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法定代表人(签署)：</w:t>
            </w:r>
          </w:p>
        </w:tc>
      </w:tr>
      <w:tr w14:paraId="1107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4" w:type="dxa"/>
            <w:vAlign w:val="center"/>
          </w:tcPr>
          <w:p w14:paraId="3FC13C3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或授权代表(签署)：</w:t>
            </w:r>
          </w:p>
        </w:tc>
        <w:tc>
          <w:tcPr>
            <w:tcW w:w="4474" w:type="dxa"/>
            <w:vAlign w:val="center"/>
          </w:tcPr>
          <w:p w14:paraId="7156212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或授权代表(签署)：</w:t>
            </w:r>
          </w:p>
        </w:tc>
      </w:tr>
    </w:tbl>
    <w:p w14:paraId="4A85B18E">
      <w:pPr>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br w:type="page"/>
      </w:r>
    </w:p>
    <w:p w14:paraId="59143344">
      <w:pPr>
        <w:outlineLvl w:val="1"/>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附件二：廉政协议</w:t>
      </w:r>
    </w:p>
    <w:p w14:paraId="00D606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廉政协议</w:t>
      </w:r>
    </w:p>
    <w:p w14:paraId="2063BD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甲方：</w:t>
      </w:r>
      <w:r>
        <w:rPr>
          <w:rFonts w:hint="eastAsia" w:ascii="仿宋_GB2312" w:hAnsi="仿宋_GB2312" w:eastAsia="仿宋_GB2312" w:cs="仿宋_GB2312"/>
          <w:bCs/>
          <w:kern w:val="2"/>
          <w:sz w:val="24"/>
          <w:szCs w:val="24"/>
          <w:u w:val="single"/>
          <w:lang w:val="en-US" w:eastAsia="zh-CN"/>
        </w:rPr>
        <w:t xml:space="preserve">                            </w:t>
      </w:r>
      <w:r>
        <w:rPr>
          <w:rFonts w:hint="eastAsia" w:ascii="仿宋_GB2312" w:hAnsi="仿宋_GB2312" w:eastAsia="仿宋_GB2312" w:cs="仿宋_GB2312"/>
          <w:bCs/>
          <w:kern w:val="2"/>
          <w:sz w:val="24"/>
          <w:szCs w:val="24"/>
        </w:rPr>
        <w:t>（以下简称：甲方）</w:t>
      </w:r>
    </w:p>
    <w:p w14:paraId="61EAF3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乙方：</w:t>
      </w:r>
      <w:r>
        <w:rPr>
          <w:rFonts w:hint="eastAsia" w:ascii="仿宋_GB2312" w:hAnsi="仿宋_GB2312" w:eastAsia="仿宋_GB2312" w:cs="仿宋_GB2312"/>
          <w:bCs/>
          <w:kern w:val="2"/>
          <w:sz w:val="24"/>
          <w:szCs w:val="24"/>
          <w:u w:val="single"/>
          <w:lang w:val="en-US" w:eastAsia="zh-CN"/>
        </w:rPr>
        <w:t xml:space="preserve">                            </w:t>
      </w:r>
      <w:r>
        <w:rPr>
          <w:rFonts w:hint="eastAsia" w:ascii="仿宋_GB2312" w:hAnsi="仿宋_GB2312" w:eastAsia="仿宋_GB2312" w:cs="仿宋_GB2312"/>
          <w:bCs/>
          <w:kern w:val="2"/>
          <w:sz w:val="24"/>
          <w:szCs w:val="24"/>
        </w:rPr>
        <w:t>（以下简称：乙方）</w:t>
      </w:r>
    </w:p>
    <w:p w14:paraId="420574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为贯彻落实中央和省、市纪委关于党风廉政建设各项规定，做好工程建设中的党风廉政建设工作，加强从源头上治理腐败的力度，争取把每一项工程建成既是优质高效工程，又是廉洁工程，甲乙双方在签订</w:t>
      </w:r>
      <w:r>
        <w:rPr>
          <w:rFonts w:hint="eastAsia" w:ascii="仿宋_GB2312" w:hAnsi="仿宋_GB2312" w:eastAsia="仿宋_GB2312" w:cs="仿宋_GB2312"/>
          <w:kern w:val="2"/>
          <w:sz w:val="24"/>
          <w:szCs w:val="24"/>
          <w:lang w:eastAsia="zh-CN"/>
        </w:rPr>
        <w:t>南昌航空大学综合科研大楼项目基坑监测及沉降观测</w:t>
      </w:r>
      <w:r>
        <w:rPr>
          <w:rFonts w:hint="eastAsia" w:ascii="仿宋_GB2312" w:hAnsi="仿宋_GB2312" w:eastAsia="仿宋_GB2312" w:cs="仿宋_GB2312"/>
          <w:kern w:val="2"/>
          <w:sz w:val="24"/>
          <w:szCs w:val="24"/>
        </w:rPr>
        <w:t>合同的同时，签订本建设工程廉政合同，甲乙双方共同遵守：</w:t>
      </w:r>
    </w:p>
    <w:p w14:paraId="6EAC16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一、甲乙双方共守的廉政职责</w:t>
      </w:r>
    </w:p>
    <w:p w14:paraId="2EE603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（一）严格遵守党的政策和有关法律、法规、规章，严格遵守中央和省、市纪委关于党风廉政建设的各项规定，切实搞好本建设工程的廉政建设。</w:t>
      </w:r>
    </w:p>
    <w:p w14:paraId="1A25B0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（二）双方在本工程建设业务活动中要坚持公开、公正、公示、透明的原则（法律认定的商业秘密除外）。</w:t>
      </w:r>
    </w:p>
    <w:p w14:paraId="46F758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（三）建立健全各项廉政制度，开展廉政教育，公示、公布施工单位，举报电话，公开接受社会各界监督，并认真查处违法违纪行为。</w:t>
      </w:r>
    </w:p>
    <w:p w14:paraId="454A33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（四）发现对方在本工程建设业务活动中有违规、违纪、违法行为的，应及时提醒对方，情节严重的，应向纪检监察、司法等部门举报。</w:t>
      </w:r>
    </w:p>
    <w:p w14:paraId="21AB06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二、甲方的职责</w:t>
      </w:r>
    </w:p>
    <w:p w14:paraId="05C315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（一）甲方及其工作人员不得索要或接受乙方的回扣、佣金、礼金、有价证券和贵重物品，不得在乙方报销任何应由甲方或由甲方工作人员个人支付的费用等。</w:t>
      </w:r>
    </w:p>
    <w:p w14:paraId="0BF019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（二）甲方人员不得参加乙方安排的超标准宴请和到营业性娱乐场所消费；不得接受乙方提供的通讯工具、交通工具和高档办公用品等。</w:t>
      </w:r>
    </w:p>
    <w:p w14:paraId="0C3B2B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（三）甲方及其工作人员不得要求或者接受乙方为其住房装修、婚丧嫁娶活动、配偶子女的工作安排以及出国出境、旅游等提供方便。</w:t>
      </w:r>
    </w:p>
    <w:p w14:paraId="68AC45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三、乙方的职责</w:t>
      </w:r>
    </w:p>
    <w:p w14:paraId="1B5090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（一）乙方应与甲方保持正常的业务交往，按照有关法律、法规规定的程序开展业务工作。</w:t>
      </w:r>
    </w:p>
    <w:p w14:paraId="49475C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（二）乙方不得以任何理由向甲方及其工作人员馈赠或给予回扣、佣金、礼金、有价证券、贵重物品等。</w:t>
      </w:r>
    </w:p>
    <w:p w14:paraId="2B711D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（三）乙方不得以任何名义为甲方及其工作人员报销应由甲方单位或个人支付的任何费用。</w:t>
      </w:r>
    </w:p>
    <w:p w14:paraId="3968DE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（四）乙方不得以任何理由安排甲方人员参加超标准宴请及营业性娱乐消费。</w:t>
      </w:r>
    </w:p>
    <w:p w14:paraId="668669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（五）乙方不得为甲方人员购置或提供通讯工具、交通工具和高档办公用品等。</w:t>
      </w:r>
    </w:p>
    <w:p w14:paraId="4CAEEC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（六）乙方不得接受甲方人员要求为其亲友安排业务工作、无偿调用材料、设备私用或作他用；不得接受甲方人员以牵线介绍方式指定本工程材料经销商，并对此负有举报义务。</w:t>
      </w:r>
    </w:p>
    <w:p w14:paraId="177F84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（七）乙方不得与甲方人员或其他人员相互串通谋划损害甲方利益的行为，更不得因此贿赂甲方人员。</w:t>
      </w:r>
    </w:p>
    <w:p w14:paraId="14F6CD4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四、违约责任</w:t>
      </w:r>
    </w:p>
    <w:p w14:paraId="459EF1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（一）甲方及其工作人员违反本合同规定，按管理权限，依据有关规定给予党纪或政纪处理；涉嫌犯罪的，移交司法机关处理。</w:t>
      </w:r>
    </w:p>
    <w:p w14:paraId="49CBAF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（二）乙方及其工作人员违反本合同约定，按管理权限，依据有关规定给予党纪或政纪处理，涉嫌犯罪的，移交司法机关处理。</w:t>
      </w:r>
    </w:p>
    <w:p w14:paraId="37555C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三）乙方及其工作人员违反本合同乙方职责中（二）（三）（四）（五）（六）（七）条中的某一规定，给甲方或甲方工作人员提供便利的，一经查实，甲方要求乙方按给予金额的二十倍支付甲方违约赔偿金，甲方可以终止乙方的建设工程项目投资、施工资格，由此造成的经济损失由乙方承担，同时乙方三年内不得参与南昌市政公用集团有限公司所属单位的工程建设工作。</w:t>
      </w:r>
    </w:p>
    <w:p w14:paraId="4DD884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（四）违反本合同的违约赔偿金可从乙方的建设工程施工合同履约保证金或工程款费用中支付。</w:t>
      </w:r>
    </w:p>
    <w:p w14:paraId="47CE3D4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五、合同监督部门</w:t>
      </w:r>
    </w:p>
    <w:p w14:paraId="18F1D6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本合同由双方和双方主管单位的纪检监察机关监督执行。</w:t>
      </w:r>
    </w:p>
    <w:p w14:paraId="4C6EE6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六、合同有效期</w:t>
      </w:r>
    </w:p>
    <w:p w14:paraId="5BB07B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本合同有效期为甲乙双方签署之日起至该工程结束后终止。</w:t>
      </w:r>
    </w:p>
    <w:p w14:paraId="29CE17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七、合同的生效</w:t>
      </w:r>
    </w:p>
    <w:p w14:paraId="3A383C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本协议作为</w:t>
      </w:r>
      <w:r>
        <w:rPr>
          <w:rFonts w:hint="eastAsia" w:ascii="仿宋_GB2312" w:hAnsi="仿宋_GB2312" w:eastAsia="仿宋_GB2312" w:cs="仿宋_GB2312"/>
          <w:kern w:val="2"/>
          <w:sz w:val="24"/>
          <w:szCs w:val="24"/>
          <w:u w:val="single"/>
          <w:lang w:eastAsia="zh-CN"/>
        </w:rPr>
        <w:t>南昌航空大学综合科研大楼项目基坑监测及沉降观测</w:t>
      </w:r>
      <w:r>
        <w:rPr>
          <w:rFonts w:hint="eastAsia" w:ascii="仿宋_GB2312" w:hAnsi="仿宋_GB2312" w:eastAsia="仿宋_GB2312" w:cs="仿宋_GB2312"/>
          <w:kern w:val="2"/>
          <w:sz w:val="24"/>
          <w:szCs w:val="24"/>
          <w:u w:val="single"/>
        </w:rPr>
        <w:t>项目</w:t>
      </w:r>
      <w:r>
        <w:rPr>
          <w:rFonts w:hint="eastAsia" w:ascii="仿宋_GB2312" w:hAnsi="仿宋_GB2312" w:eastAsia="仿宋_GB2312" w:cs="仿宋_GB2312"/>
          <w:kern w:val="2"/>
          <w:sz w:val="24"/>
          <w:szCs w:val="24"/>
        </w:rPr>
        <w:t>的附属合同，与</w:t>
      </w:r>
      <w:r>
        <w:rPr>
          <w:rFonts w:hint="eastAsia" w:ascii="仿宋_GB2312" w:hAnsi="仿宋_GB2312" w:eastAsia="仿宋_GB2312" w:cs="仿宋_GB2312"/>
          <w:kern w:val="2"/>
          <w:sz w:val="24"/>
          <w:szCs w:val="24"/>
          <w:u w:val="single"/>
          <w:lang w:eastAsia="zh-CN"/>
        </w:rPr>
        <w:t>南昌航空大学综合科研大楼项目基坑监测及沉降观测</w:t>
      </w:r>
      <w:r>
        <w:rPr>
          <w:rFonts w:hint="eastAsia" w:ascii="仿宋_GB2312" w:hAnsi="仿宋_GB2312" w:eastAsia="仿宋_GB2312" w:cs="仿宋_GB2312"/>
          <w:kern w:val="2"/>
          <w:sz w:val="24"/>
          <w:szCs w:val="24"/>
          <w:u w:val="single"/>
        </w:rPr>
        <w:t>项目合同</w:t>
      </w:r>
      <w:r>
        <w:rPr>
          <w:rFonts w:hint="eastAsia" w:ascii="仿宋_GB2312" w:hAnsi="仿宋_GB2312" w:eastAsia="仿宋_GB2312" w:cs="仿宋_GB2312"/>
          <w:kern w:val="2"/>
          <w:sz w:val="24"/>
          <w:szCs w:val="24"/>
        </w:rPr>
        <w:t>具有同等法律效力，经合同双方法定代表人签署后生效。</w:t>
      </w:r>
    </w:p>
    <w:p w14:paraId="365D21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kern w:val="2"/>
          <w:sz w:val="24"/>
          <w:szCs w:val="24"/>
        </w:rPr>
      </w:pPr>
    </w:p>
    <w:tbl>
      <w:tblPr>
        <w:tblStyle w:val="4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33FE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4" w:type="dxa"/>
            <w:vAlign w:val="center"/>
          </w:tcPr>
          <w:p w14:paraId="7CAF792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甲方名称(加盖公章)：</w:t>
            </w:r>
          </w:p>
        </w:tc>
        <w:tc>
          <w:tcPr>
            <w:tcW w:w="4474" w:type="dxa"/>
            <w:vAlign w:val="center"/>
          </w:tcPr>
          <w:p w14:paraId="101F905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乙方名称(加盖公章)：</w:t>
            </w:r>
          </w:p>
        </w:tc>
      </w:tr>
      <w:tr w14:paraId="56DA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4" w:type="dxa"/>
            <w:vAlign w:val="center"/>
          </w:tcPr>
          <w:p w14:paraId="478B998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法定代表人(签署)：</w:t>
            </w:r>
          </w:p>
        </w:tc>
        <w:tc>
          <w:tcPr>
            <w:tcW w:w="4474" w:type="dxa"/>
            <w:vAlign w:val="center"/>
          </w:tcPr>
          <w:p w14:paraId="1245B50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法定代表人(签署)：</w:t>
            </w:r>
          </w:p>
        </w:tc>
      </w:tr>
      <w:tr w14:paraId="3D79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4" w:type="dxa"/>
            <w:vAlign w:val="center"/>
          </w:tcPr>
          <w:p w14:paraId="142525D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或授权代表(签署)：</w:t>
            </w:r>
          </w:p>
        </w:tc>
        <w:tc>
          <w:tcPr>
            <w:tcW w:w="4474" w:type="dxa"/>
            <w:vAlign w:val="center"/>
          </w:tcPr>
          <w:p w14:paraId="318DD27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80" w:firstLineChars="200"/>
              <w:jc w:val="both"/>
              <w:textAlignment w:val="top"/>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rPr>
              <w:t>或授权代表(签署)：</w:t>
            </w:r>
          </w:p>
        </w:tc>
      </w:tr>
    </w:tbl>
    <w:p w14:paraId="7F8327A9">
      <w:pPr>
        <w:outlineLvl w:val="1"/>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kern w:val="2"/>
          <w:sz w:val="24"/>
          <w:szCs w:val="24"/>
          <w:lang w:val="en-US" w:eastAsia="zh-CN"/>
        </w:rPr>
        <w:br w:type="page"/>
      </w:r>
      <w:r>
        <w:rPr>
          <w:rFonts w:hint="eastAsia" w:ascii="仿宋_GB2312" w:hAnsi="仿宋_GB2312" w:eastAsia="仿宋_GB2312" w:cs="仿宋_GB2312"/>
          <w:b/>
          <w:bCs/>
          <w:kern w:val="2"/>
          <w:sz w:val="24"/>
          <w:szCs w:val="24"/>
          <w:lang w:val="en-US" w:eastAsia="zh-CN"/>
        </w:rPr>
        <w:t>附件四：南昌市红谷滩区南昌航空大学综合科研大楼项目安居住宅项目基坑监测/沉降观测预估工程量</w:t>
      </w:r>
    </w:p>
    <w:p w14:paraId="007572A2">
      <w:pPr>
        <w:pStyle w:val="2"/>
        <w:rPr>
          <w:rFonts w:hint="eastAsia" w:ascii="仿宋_GB2312" w:hAnsi="仿宋_GB2312" w:eastAsia="仿宋_GB2312" w:cs="仿宋_GB2312"/>
          <w:b/>
          <w:bCs/>
          <w:color w:val="000000"/>
          <w:kern w:val="0"/>
          <w:sz w:val="24"/>
          <w:szCs w:val="24"/>
        </w:rPr>
      </w:pPr>
    </w:p>
    <w:p w14:paraId="5E780BFA">
      <w:pPr>
        <w:pStyle w:val="2"/>
        <w:jc w:val="center"/>
        <w:rPr>
          <w:rFonts w:hint="eastAsia"/>
          <w:lang w:val="en-US" w:eastAsia="zh-CN"/>
        </w:rPr>
      </w:pPr>
      <w:r>
        <w:rPr>
          <w:rFonts w:hint="eastAsia" w:ascii="仿宋_GB2312" w:hAnsi="仿宋_GB2312" w:eastAsia="仿宋_GB2312" w:cs="仿宋_GB2312"/>
          <w:b/>
          <w:bCs/>
          <w:color w:val="000000"/>
          <w:kern w:val="0"/>
          <w:sz w:val="24"/>
          <w:szCs w:val="24"/>
        </w:rPr>
        <w:t>基坑监测预估工程量</w:t>
      </w:r>
    </w:p>
    <w:tbl>
      <w:tblPr>
        <w:tblStyle w:val="4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835"/>
        <w:gridCol w:w="1701"/>
        <w:gridCol w:w="1701"/>
        <w:gridCol w:w="1701"/>
      </w:tblGrid>
      <w:tr w14:paraId="7B9C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75AABF2">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2835" w:type="dxa"/>
            <w:vAlign w:val="center"/>
          </w:tcPr>
          <w:p w14:paraId="1E8024CF">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kern w:val="2"/>
                <w:sz w:val="24"/>
                <w:szCs w:val="24"/>
              </w:rPr>
            </w:pPr>
            <w:r>
              <w:rPr>
                <w:rFonts w:hint="eastAsia" w:ascii="宋体" w:hAnsi="宋体" w:eastAsia="宋体" w:cs="宋体"/>
                <w:kern w:val="2"/>
                <w:sz w:val="24"/>
                <w:szCs w:val="24"/>
              </w:rPr>
              <w:t>主要监测项</w:t>
            </w:r>
          </w:p>
        </w:tc>
        <w:tc>
          <w:tcPr>
            <w:tcW w:w="1701" w:type="dxa"/>
            <w:vAlign w:val="center"/>
          </w:tcPr>
          <w:p w14:paraId="461671EF">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暂定点数（个）</w:t>
            </w:r>
          </w:p>
        </w:tc>
        <w:tc>
          <w:tcPr>
            <w:tcW w:w="1701" w:type="dxa"/>
            <w:vAlign w:val="center"/>
          </w:tcPr>
          <w:p w14:paraId="0A4631D7">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单点位暂定次数（次）</w:t>
            </w:r>
          </w:p>
        </w:tc>
        <w:tc>
          <w:tcPr>
            <w:tcW w:w="1701" w:type="dxa"/>
            <w:vAlign w:val="center"/>
          </w:tcPr>
          <w:p w14:paraId="3C147975">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暂定总次数（次）</w:t>
            </w:r>
          </w:p>
        </w:tc>
      </w:tr>
      <w:tr w14:paraId="4717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9D00A1F">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35" w:type="dxa"/>
            <w:vAlign w:val="center"/>
          </w:tcPr>
          <w:p w14:paraId="24A95E34">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kern w:val="2"/>
                <w:sz w:val="24"/>
                <w:szCs w:val="24"/>
              </w:rPr>
            </w:pPr>
            <w:r>
              <w:rPr>
                <w:rFonts w:hint="eastAsia" w:ascii="宋体" w:hAnsi="宋体" w:eastAsia="宋体" w:cs="宋体"/>
                <w:kern w:val="2"/>
                <w:sz w:val="24"/>
                <w:szCs w:val="24"/>
              </w:rPr>
              <w:t>顶部水平位移</w:t>
            </w:r>
          </w:p>
        </w:tc>
        <w:tc>
          <w:tcPr>
            <w:tcW w:w="1701" w:type="dxa"/>
            <w:vAlign w:val="center"/>
          </w:tcPr>
          <w:p w14:paraId="5A913B7C">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17</w:t>
            </w:r>
          </w:p>
        </w:tc>
        <w:tc>
          <w:tcPr>
            <w:tcW w:w="1701" w:type="dxa"/>
            <w:vAlign w:val="center"/>
          </w:tcPr>
          <w:p w14:paraId="79CC0441">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50</w:t>
            </w:r>
          </w:p>
        </w:tc>
        <w:tc>
          <w:tcPr>
            <w:tcW w:w="1701" w:type="dxa"/>
            <w:vAlign w:val="center"/>
          </w:tcPr>
          <w:p w14:paraId="2BD9FC9E">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850</w:t>
            </w:r>
          </w:p>
        </w:tc>
      </w:tr>
      <w:tr w14:paraId="2298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61C5AEA">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35" w:type="dxa"/>
            <w:vAlign w:val="center"/>
          </w:tcPr>
          <w:p w14:paraId="26DD0C08">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kern w:val="2"/>
                <w:sz w:val="24"/>
                <w:szCs w:val="24"/>
              </w:rPr>
            </w:pPr>
            <w:r>
              <w:rPr>
                <w:rFonts w:hint="eastAsia" w:ascii="宋体" w:hAnsi="宋体" w:eastAsia="宋体" w:cs="宋体"/>
                <w:kern w:val="2"/>
                <w:sz w:val="24"/>
                <w:szCs w:val="24"/>
              </w:rPr>
              <w:t>顶部</w:t>
            </w:r>
            <w:r>
              <w:rPr>
                <w:rFonts w:hint="eastAsia" w:ascii="宋体" w:hAnsi="宋体" w:eastAsia="宋体" w:cs="宋体"/>
                <w:kern w:val="2"/>
                <w:sz w:val="24"/>
                <w:szCs w:val="24"/>
                <w:lang w:val="en-US" w:eastAsia="zh-CN"/>
              </w:rPr>
              <w:t>垂直</w:t>
            </w:r>
            <w:r>
              <w:rPr>
                <w:rFonts w:hint="eastAsia" w:ascii="宋体" w:hAnsi="宋体" w:eastAsia="宋体" w:cs="宋体"/>
                <w:kern w:val="2"/>
                <w:sz w:val="24"/>
                <w:szCs w:val="24"/>
              </w:rPr>
              <w:t>位移</w:t>
            </w:r>
          </w:p>
        </w:tc>
        <w:tc>
          <w:tcPr>
            <w:tcW w:w="1701" w:type="dxa"/>
            <w:vAlign w:val="center"/>
          </w:tcPr>
          <w:p w14:paraId="2C43C522">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17</w:t>
            </w:r>
          </w:p>
        </w:tc>
        <w:tc>
          <w:tcPr>
            <w:tcW w:w="1701" w:type="dxa"/>
            <w:vAlign w:val="center"/>
          </w:tcPr>
          <w:p w14:paraId="49B61AFE">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50</w:t>
            </w:r>
          </w:p>
        </w:tc>
        <w:tc>
          <w:tcPr>
            <w:tcW w:w="1701" w:type="dxa"/>
            <w:vAlign w:val="center"/>
          </w:tcPr>
          <w:p w14:paraId="76FF8C8B">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850</w:t>
            </w:r>
          </w:p>
        </w:tc>
      </w:tr>
      <w:tr w14:paraId="6C4B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A67034D">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35" w:type="dxa"/>
            <w:vAlign w:val="center"/>
          </w:tcPr>
          <w:p w14:paraId="5CBE83AD">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周边道路管线沉降</w:t>
            </w:r>
          </w:p>
        </w:tc>
        <w:tc>
          <w:tcPr>
            <w:tcW w:w="1701" w:type="dxa"/>
            <w:vAlign w:val="center"/>
          </w:tcPr>
          <w:p w14:paraId="619EE4D8">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20</w:t>
            </w:r>
          </w:p>
        </w:tc>
        <w:tc>
          <w:tcPr>
            <w:tcW w:w="1701" w:type="dxa"/>
            <w:vAlign w:val="center"/>
          </w:tcPr>
          <w:p w14:paraId="79788240">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50</w:t>
            </w:r>
          </w:p>
        </w:tc>
        <w:tc>
          <w:tcPr>
            <w:tcW w:w="1701" w:type="dxa"/>
            <w:vAlign w:val="center"/>
          </w:tcPr>
          <w:p w14:paraId="3209C6E8">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rPr>
            </w:pPr>
            <w:r>
              <w:rPr>
                <w:rFonts w:hint="eastAsia" w:ascii="宋体" w:hAnsi="宋体" w:eastAsia="宋体" w:cs="宋体"/>
                <w:kern w:val="2"/>
                <w:sz w:val="24"/>
                <w:szCs w:val="24"/>
                <w:lang w:val="en-US" w:eastAsia="zh-CN"/>
              </w:rPr>
              <w:t>1000</w:t>
            </w:r>
          </w:p>
        </w:tc>
      </w:tr>
      <w:tr w14:paraId="26B8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A20FBF0">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35" w:type="dxa"/>
            <w:vAlign w:val="center"/>
          </w:tcPr>
          <w:p w14:paraId="4561F7A4">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深层水平位移</w:t>
            </w:r>
          </w:p>
        </w:tc>
        <w:tc>
          <w:tcPr>
            <w:tcW w:w="1701" w:type="dxa"/>
            <w:vAlign w:val="center"/>
          </w:tcPr>
          <w:p w14:paraId="5A8E187F">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7</w:t>
            </w:r>
          </w:p>
        </w:tc>
        <w:tc>
          <w:tcPr>
            <w:tcW w:w="1701" w:type="dxa"/>
            <w:vAlign w:val="center"/>
          </w:tcPr>
          <w:p w14:paraId="0F51212F">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50</w:t>
            </w:r>
          </w:p>
        </w:tc>
        <w:tc>
          <w:tcPr>
            <w:tcW w:w="1701" w:type="dxa"/>
            <w:vAlign w:val="center"/>
          </w:tcPr>
          <w:p w14:paraId="6FCF58F6">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rPr>
            </w:pPr>
            <w:r>
              <w:rPr>
                <w:rFonts w:hint="eastAsia" w:ascii="宋体" w:hAnsi="宋体" w:eastAsia="宋体" w:cs="宋体"/>
                <w:kern w:val="2"/>
                <w:sz w:val="24"/>
                <w:szCs w:val="24"/>
                <w:lang w:val="en-US" w:eastAsia="zh-CN"/>
              </w:rPr>
              <w:t>350</w:t>
            </w:r>
          </w:p>
        </w:tc>
      </w:tr>
      <w:tr w14:paraId="27F7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00C894C">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35" w:type="dxa"/>
            <w:vAlign w:val="center"/>
          </w:tcPr>
          <w:p w14:paraId="630148B3">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eastAsia" w:ascii="宋体" w:hAnsi="宋体" w:eastAsia="宋体" w:cs="宋体"/>
                <w:kern w:val="2"/>
                <w:sz w:val="24"/>
                <w:szCs w:val="24"/>
              </w:rPr>
            </w:pPr>
            <w:r>
              <w:rPr>
                <w:rFonts w:hint="eastAsia" w:ascii="宋体" w:hAnsi="宋体" w:eastAsia="宋体" w:cs="宋体"/>
                <w:kern w:val="2"/>
                <w:sz w:val="24"/>
                <w:szCs w:val="24"/>
              </w:rPr>
              <w:t>地下水</w:t>
            </w:r>
            <w:r>
              <w:rPr>
                <w:rFonts w:hint="eastAsia" w:ascii="宋体" w:hAnsi="宋体" w:eastAsia="宋体" w:cs="宋体"/>
                <w:kern w:val="2"/>
                <w:sz w:val="24"/>
                <w:szCs w:val="24"/>
                <w:lang w:val="en-US" w:eastAsia="zh-CN"/>
              </w:rPr>
              <w:t>位</w:t>
            </w:r>
            <w:r>
              <w:rPr>
                <w:rFonts w:hint="eastAsia" w:ascii="宋体" w:hAnsi="宋体" w:eastAsia="宋体" w:cs="宋体"/>
                <w:kern w:val="2"/>
                <w:sz w:val="24"/>
                <w:szCs w:val="24"/>
              </w:rPr>
              <w:t>观测</w:t>
            </w:r>
          </w:p>
        </w:tc>
        <w:tc>
          <w:tcPr>
            <w:tcW w:w="1701" w:type="dxa"/>
            <w:vAlign w:val="center"/>
          </w:tcPr>
          <w:p w14:paraId="294F7229">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10</w:t>
            </w:r>
          </w:p>
        </w:tc>
        <w:tc>
          <w:tcPr>
            <w:tcW w:w="1701" w:type="dxa"/>
            <w:vAlign w:val="center"/>
          </w:tcPr>
          <w:p w14:paraId="54229269">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50</w:t>
            </w:r>
          </w:p>
        </w:tc>
        <w:tc>
          <w:tcPr>
            <w:tcW w:w="1701" w:type="dxa"/>
            <w:vAlign w:val="center"/>
          </w:tcPr>
          <w:p w14:paraId="44A91816">
            <w:pPr>
              <w:keepNext w:val="0"/>
              <w:keepLines w:val="0"/>
              <w:pageBreakBefore w:val="0"/>
              <w:widowControl w:val="0"/>
              <w:suppressLineNumbers w:val="0"/>
              <w:kinsoku/>
              <w:overflowPunct w:val="0"/>
              <w:topLinePunct w:val="0"/>
              <w:autoSpaceDN/>
              <w:bidi w:val="0"/>
              <w:adjustRightInd w:val="0"/>
              <w:snapToGrid w:val="0"/>
              <w:spacing w:before="0" w:beforeAutospacing="0" w:after="0" w:afterAutospacing="0"/>
              <w:ind w:left="0" w:leftChars="0" w:right="0"/>
              <w:jc w:val="center"/>
              <w:rPr>
                <w:rFonts w:hint="default" w:ascii="宋体" w:hAnsi="宋体" w:eastAsia="宋体" w:cs="宋体"/>
                <w:kern w:val="2"/>
                <w:sz w:val="24"/>
                <w:szCs w:val="24"/>
                <w:lang w:val="en-US"/>
              </w:rPr>
            </w:pPr>
            <w:r>
              <w:rPr>
                <w:rFonts w:hint="eastAsia" w:ascii="宋体" w:hAnsi="宋体" w:eastAsia="宋体" w:cs="宋体"/>
                <w:kern w:val="2"/>
                <w:sz w:val="24"/>
                <w:szCs w:val="24"/>
                <w:lang w:val="en-US" w:eastAsia="zh-CN"/>
              </w:rPr>
              <w:t>1000</w:t>
            </w:r>
          </w:p>
        </w:tc>
      </w:tr>
    </w:tbl>
    <w:p w14:paraId="6F449B76">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仿宋_GB2312" w:hAnsi="宋体" w:eastAsia="仿宋_GB2312" w:cs="仿宋_GB2312"/>
          <w:b/>
          <w:bCs/>
          <w:color w:val="000000"/>
          <w:kern w:val="0"/>
          <w:sz w:val="24"/>
          <w:szCs w:val="24"/>
          <w:lang w:bidi="ar"/>
        </w:rPr>
      </w:pPr>
    </w:p>
    <w:p w14:paraId="325E154D">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Calibri" w:hAnsi="Calibri" w:eastAsia="宋体" w:cs="Times New Roman"/>
          <w:kern w:val="2"/>
          <w:szCs w:val="24"/>
          <w:lang w:val="en-US" w:eastAsia="zh-CN"/>
        </w:rPr>
      </w:pPr>
      <w:r>
        <w:rPr>
          <w:rFonts w:hint="eastAsia" w:ascii="仿宋_GB2312" w:hAnsi="宋体" w:eastAsia="仿宋_GB2312" w:cs="仿宋_GB2312"/>
          <w:b/>
          <w:bCs/>
          <w:color w:val="000000"/>
          <w:kern w:val="0"/>
          <w:sz w:val="24"/>
          <w:szCs w:val="24"/>
          <w:lang w:bidi="ar"/>
        </w:rPr>
        <w:t>沉降观测预估工程量</w:t>
      </w:r>
    </w:p>
    <w:p w14:paraId="32BF65B7">
      <w:pPr>
        <w:rPr>
          <w:rFonts w:hint="eastAsia" w:ascii="Calibri" w:hAnsi="Calibri" w:eastAsia="宋体" w:cs="Times New Roman"/>
          <w:kern w:val="2"/>
          <w:szCs w:val="24"/>
          <w:lang w:val="en-US" w:eastAsia="zh-CN"/>
        </w:rPr>
      </w:pPr>
    </w:p>
    <w:tbl>
      <w:tblPr>
        <w:tblStyle w:val="40"/>
        <w:tblW w:w="9078" w:type="dxa"/>
        <w:jc w:val="center"/>
        <w:tblLayout w:type="fixed"/>
        <w:tblCellMar>
          <w:top w:w="0" w:type="dxa"/>
          <w:left w:w="57" w:type="dxa"/>
          <w:bottom w:w="0" w:type="dxa"/>
          <w:right w:w="57" w:type="dxa"/>
        </w:tblCellMar>
      </w:tblPr>
      <w:tblGrid>
        <w:gridCol w:w="1127"/>
        <w:gridCol w:w="2850"/>
        <w:gridCol w:w="1275"/>
        <w:gridCol w:w="1275"/>
        <w:gridCol w:w="1170"/>
        <w:gridCol w:w="1381"/>
      </w:tblGrid>
      <w:tr w14:paraId="48470D5D">
        <w:tblPrEx>
          <w:tblCellMar>
            <w:top w:w="0" w:type="dxa"/>
            <w:left w:w="57" w:type="dxa"/>
            <w:bottom w:w="0" w:type="dxa"/>
            <w:right w:w="57" w:type="dxa"/>
          </w:tblCellMar>
        </w:tblPrEx>
        <w:trPr>
          <w:trHeight w:val="68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E056">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编号</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84CC">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楼号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AC5E">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层数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16BA">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点数（点）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7121">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暂定总次数（次）</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E8E5">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暂定总工作量（次）</w:t>
            </w:r>
          </w:p>
        </w:tc>
      </w:tr>
      <w:tr w14:paraId="4DA1020D">
        <w:tblPrEx>
          <w:tblCellMar>
            <w:top w:w="0" w:type="dxa"/>
            <w:left w:w="57" w:type="dxa"/>
            <w:bottom w:w="0" w:type="dxa"/>
            <w:right w:w="57" w:type="dxa"/>
          </w:tblCellMar>
        </w:tblPrEx>
        <w:trPr>
          <w:trHeight w:val="68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E720">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3BE0">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bidi="ar"/>
              </w:rPr>
              <w:t>综合科研大楼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458E">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B501">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E41D">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bidi="ar"/>
              </w:rPr>
              <w:t>24</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0326">
            <w:pPr>
              <w:keepNext w:val="0"/>
              <w:keepLines w:val="0"/>
              <w:pageBreakBefore w:val="0"/>
              <w:widowControl w:val="0"/>
              <w:suppressLineNumbers w:val="0"/>
              <w:kinsoku/>
              <w:topLinePunct w:val="0"/>
              <w:autoSpaceDN/>
              <w:bidi w:val="0"/>
              <w:adjustRightInd w:val="0"/>
              <w:snapToGrid w:val="0"/>
              <w:spacing w:before="0" w:beforeAutospacing="0" w:after="0" w:afterAutospacing="0"/>
              <w:ind w:left="0" w:leftChars="0" w:right="0"/>
              <w:jc w:val="center"/>
              <w:textAlignment w:val="center"/>
              <w:rPr>
                <w:rFonts w:hint="default" w:ascii="宋体" w:hAnsi="宋体" w:eastAsia="宋体" w:cs="宋体"/>
                <w:color w:val="000000"/>
                <w:sz w:val="24"/>
                <w:szCs w:val="24"/>
                <w:lang w:val="en-US" w:bidi="ar"/>
              </w:rPr>
            </w:pPr>
            <w:r>
              <w:rPr>
                <w:rFonts w:hint="eastAsia" w:ascii="宋体" w:hAnsi="宋体" w:eastAsia="宋体" w:cs="宋体"/>
                <w:color w:val="000000"/>
                <w:sz w:val="24"/>
                <w:szCs w:val="24"/>
                <w:lang w:val="en-US" w:eastAsia="zh-CN" w:bidi="ar"/>
              </w:rPr>
              <w:t>461</w:t>
            </w:r>
          </w:p>
        </w:tc>
      </w:tr>
    </w:tbl>
    <w:p w14:paraId="230A8567">
      <w:pPr>
        <w:pStyle w:val="2"/>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rPr>
          <w:rFonts w:hint="eastAsia" w:ascii="宋体" w:hAnsi="宋体" w:eastAsia="宋体" w:cs="宋体"/>
          <w:kern w:val="2"/>
          <w:sz w:val="24"/>
          <w:szCs w:val="24"/>
        </w:rPr>
      </w:pPr>
    </w:p>
    <w:p w14:paraId="1AB0582D">
      <w:pPr>
        <w:pStyle w:val="2"/>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rPr>
          <w:rFonts w:hint="eastAsia" w:ascii="宋体" w:hAnsi="宋体" w:cs="宋体"/>
          <w:kern w:val="2"/>
          <w:sz w:val="24"/>
          <w:szCs w:val="24"/>
          <w:lang w:val="en-US" w:eastAsia="zh-CN"/>
        </w:rPr>
      </w:pPr>
    </w:p>
    <w:p w14:paraId="4E85027F">
      <w:pPr>
        <w:pStyle w:val="2"/>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rPr>
          <w:rFonts w:hint="eastAsia" w:ascii="宋体" w:hAnsi="宋体" w:cs="宋体"/>
          <w:kern w:val="2"/>
          <w:sz w:val="24"/>
          <w:szCs w:val="24"/>
          <w:lang w:val="en-US" w:eastAsia="zh-CN"/>
        </w:rPr>
      </w:pPr>
    </w:p>
    <w:p w14:paraId="2FDFAC1D">
      <w:pPr>
        <w:pStyle w:val="2"/>
        <w:keepNext w:val="0"/>
        <w:keepLines w:val="0"/>
        <w:pageBreakBefore w:val="0"/>
        <w:widowControl w:val="0"/>
        <w:kinsoku/>
        <w:wordWrap/>
        <w:overflowPunct w:val="0"/>
        <w:topLinePunct w:val="0"/>
        <w:autoSpaceDE/>
        <w:autoSpaceDN/>
        <w:bidi w:val="0"/>
        <w:adjustRightInd w:val="0"/>
        <w:snapToGrid w:val="0"/>
        <w:spacing w:after="0" w:line="360" w:lineRule="auto"/>
        <w:ind w:left="0" w:leftChars="0" w:firstLine="480" w:firstLineChars="200"/>
        <w:rPr>
          <w:rFonts w:hint="eastAsia" w:ascii="仿宋_GB2312" w:hAnsi="仿宋_GB2312" w:eastAsia="仿宋_GB2312" w:cs="仿宋_GB2312"/>
          <w:sz w:val="24"/>
          <w:highlight w:val="none"/>
        </w:rPr>
      </w:pPr>
      <w:r>
        <w:rPr>
          <w:rFonts w:hint="eastAsia" w:ascii="宋体" w:hAnsi="宋体" w:cs="宋体"/>
          <w:kern w:val="2"/>
          <w:sz w:val="24"/>
          <w:szCs w:val="24"/>
          <w:lang w:val="en-US" w:eastAsia="zh-CN"/>
        </w:rPr>
        <w:t>注：</w:t>
      </w:r>
      <w:r>
        <w:rPr>
          <w:rFonts w:hint="eastAsia" w:ascii="宋体" w:hAnsi="宋体" w:eastAsia="宋体" w:cs="宋体"/>
          <w:kern w:val="2"/>
          <w:sz w:val="24"/>
          <w:szCs w:val="24"/>
        </w:rPr>
        <w:t>上述监测点数量均为</w:t>
      </w:r>
      <w:r>
        <w:rPr>
          <w:rFonts w:hint="eastAsia" w:ascii="宋体" w:hAnsi="宋体" w:cs="宋体"/>
          <w:kern w:val="2"/>
          <w:sz w:val="24"/>
          <w:szCs w:val="24"/>
          <w:lang w:val="en-US" w:eastAsia="zh-CN"/>
        </w:rPr>
        <w:t>预估</w:t>
      </w:r>
      <w:r>
        <w:rPr>
          <w:rFonts w:hint="eastAsia" w:ascii="宋体" w:hAnsi="宋体" w:eastAsia="宋体" w:cs="宋体"/>
          <w:kern w:val="2"/>
          <w:sz w:val="24"/>
          <w:szCs w:val="24"/>
        </w:rPr>
        <w:t>量，需实施时，监测单位据实确定，尤其是管线监测更应结合实际情况布置。</w:t>
      </w:r>
      <w:r>
        <w:rPr>
          <w:rFonts w:hint="eastAsia" w:ascii="宋体" w:hAnsi="宋体" w:eastAsia="宋体" w:cs="宋体"/>
          <w:kern w:val="2"/>
          <w:sz w:val="24"/>
          <w:szCs w:val="24"/>
          <w:lang w:val="en-US" w:eastAsia="zh-CN"/>
        </w:rPr>
        <w:t>乙</w:t>
      </w:r>
      <w:r>
        <w:rPr>
          <w:rFonts w:hint="eastAsia" w:ascii="宋体" w:hAnsi="宋体" w:eastAsia="宋体" w:cs="宋体"/>
          <w:kern w:val="2"/>
          <w:sz w:val="24"/>
          <w:szCs w:val="24"/>
        </w:rPr>
        <w:t>方应在具体实施方案中拟定具体位置，具体实施方案须经甲方复核确定</w:t>
      </w:r>
      <w:r>
        <w:rPr>
          <w:rFonts w:hint="eastAsia" w:ascii="宋体" w:hAnsi="宋体" w:eastAsia="宋体" w:cs="宋体"/>
          <w:kern w:val="2"/>
          <w:sz w:val="24"/>
          <w:szCs w:val="24"/>
          <w:lang w:val="en-US" w:eastAsia="zh-CN"/>
        </w:rPr>
        <w:t>。合同总价不因工程量变化而调增，若实际监测的工程量未达到暂定工程量，则根据实际检测工程量按实结算。</w:t>
      </w:r>
    </w:p>
    <w:p w14:paraId="4BBFE909">
      <w:pPr>
        <w:rPr>
          <w:rFonts w:hint="eastAsia" w:ascii="仿宋_GB2312" w:hAnsi="仿宋_GB2312" w:eastAsia="仿宋_GB2312" w:cs="仿宋_GB2312"/>
          <w:b/>
          <w:bCs/>
          <w:kern w:val="2"/>
          <w:sz w:val="24"/>
          <w:szCs w:val="24"/>
          <w:lang w:val="en-US" w:eastAsia="zh-CN" w:bidi="ar-SA"/>
        </w:rPr>
      </w:pPr>
    </w:p>
    <w:p w14:paraId="5C1D4250">
      <w:pPr>
        <w:pStyle w:val="2"/>
        <w:rPr>
          <w:rFonts w:hint="eastAsia"/>
          <w:lang w:val="en-US" w:eastAsia="zh-CN"/>
        </w:rPr>
      </w:pPr>
    </w:p>
    <w:p w14:paraId="264B762F">
      <w:pP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br w:type="page"/>
      </w:r>
    </w:p>
    <w:p w14:paraId="6A9C7691">
      <w:pPr>
        <w:widowControl w:val="0"/>
        <w:spacing w:after="120"/>
        <w:jc w:val="both"/>
        <w:outlineLvl w:val="1"/>
        <w:rPr>
          <w:rFonts w:hint="default" w:ascii="Times New Roman" w:hAnsi="Times New Roman" w:eastAsia="宋体" w:cs="Times New Roman"/>
          <w:kern w:val="2"/>
          <w:sz w:val="21"/>
          <w:szCs w:val="24"/>
          <w:lang w:val="en-US" w:eastAsia="zh-CN" w:bidi="ar-SA"/>
        </w:rPr>
      </w:pPr>
      <w:r>
        <w:rPr>
          <w:rFonts w:hint="eastAsia" w:ascii="仿宋_GB2312" w:hAnsi="仿宋_GB2312" w:eastAsia="仿宋_GB2312" w:cs="仿宋_GB2312"/>
          <w:b/>
          <w:bCs/>
          <w:kern w:val="2"/>
          <w:sz w:val="24"/>
          <w:szCs w:val="24"/>
          <w:lang w:val="en-US" w:eastAsia="zh-CN" w:bidi="ar-SA"/>
        </w:rPr>
        <w:t>附件五：投标报价清单</w:t>
      </w:r>
    </w:p>
    <w:p w14:paraId="47116FBF">
      <w:pPr>
        <w:rPr>
          <w:rFonts w:hint="eastAsia" w:ascii="仿宋_GB2312" w:hAnsi="仿宋_GB2312" w:eastAsia="仿宋_GB2312" w:cs="仿宋_GB2312"/>
          <w:highlight w:val="none"/>
        </w:rPr>
      </w:pPr>
    </w:p>
    <w:sectPr>
      <w:headerReference r:id="rId3" w:type="default"/>
      <w:footerReference r:id="rId4" w:type="default"/>
      <w:pgSz w:w="11905" w:h="16838"/>
      <w:pgMar w:top="2098" w:right="1587" w:bottom="2098" w:left="1587" w:header="680" w:footer="907"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9A16F">
    <w:pPr>
      <w:pStyle w:val="26"/>
      <w:framePr w:wrap="around" w:vAnchor="text" w:hAnchor="margin" w:xAlign="center" w:y="1"/>
      <w:jc w:val="center"/>
      <w:rPr>
        <w:rStyle w:val="44"/>
      </w:rPr>
    </w:pPr>
    <w:r>
      <w:fldChar w:fldCharType="begin"/>
    </w:r>
    <w:r>
      <w:rPr>
        <w:rStyle w:val="44"/>
      </w:rPr>
      <w:instrText xml:space="preserve">PAGE  </w:instrText>
    </w:r>
    <w:r>
      <w:fldChar w:fldCharType="separate"/>
    </w:r>
    <w:r>
      <w:rPr>
        <w:rStyle w:val="44"/>
      </w:rPr>
      <w:t>68</w:t>
    </w:r>
    <w:r>
      <w:fldChar w:fldCharType="end"/>
    </w:r>
  </w:p>
  <w:p w14:paraId="4612BCC8">
    <w:pPr>
      <w:pStyle w:val="26"/>
      <w:framePr w:wrap="around" w:vAnchor="text" w:hAnchor="margin" w:xAlign="center" w:y="1"/>
      <w:rPr>
        <w:rStyle w:val="44"/>
      </w:rPr>
    </w:pPr>
  </w:p>
  <w:p w14:paraId="1181824D">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B79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30E0D"/>
    <w:multiLevelType w:val="singleLevel"/>
    <w:tmpl w:val="E8230E0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5OGM0ZjVjMWEwMThjY2UzMTUyYzhiYmQwMDQ2ZTcifQ=="/>
  </w:docVars>
  <w:rsids>
    <w:rsidRoot w:val="00441071"/>
    <w:rsid w:val="00074DBC"/>
    <w:rsid w:val="000820BA"/>
    <w:rsid w:val="000E5D71"/>
    <w:rsid w:val="00216179"/>
    <w:rsid w:val="002D5409"/>
    <w:rsid w:val="003A4019"/>
    <w:rsid w:val="00441071"/>
    <w:rsid w:val="00504402"/>
    <w:rsid w:val="005E1907"/>
    <w:rsid w:val="0060087E"/>
    <w:rsid w:val="0060432A"/>
    <w:rsid w:val="00676FAE"/>
    <w:rsid w:val="007677BC"/>
    <w:rsid w:val="007C5ACE"/>
    <w:rsid w:val="00865FD6"/>
    <w:rsid w:val="008B0BC3"/>
    <w:rsid w:val="00A3485E"/>
    <w:rsid w:val="00A71798"/>
    <w:rsid w:val="00B66952"/>
    <w:rsid w:val="00D40D69"/>
    <w:rsid w:val="00EB60B2"/>
    <w:rsid w:val="01253372"/>
    <w:rsid w:val="01583748"/>
    <w:rsid w:val="02092289"/>
    <w:rsid w:val="020E02AA"/>
    <w:rsid w:val="02145195"/>
    <w:rsid w:val="02405F8A"/>
    <w:rsid w:val="024104C5"/>
    <w:rsid w:val="024E68F9"/>
    <w:rsid w:val="02816CCE"/>
    <w:rsid w:val="03B1713F"/>
    <w:rsid w:val="04706FFA"/>
    <w:rsid w:val="049A4077"/>
    <w:rsid w:val="04CD7FA9"/>
    <w:rsid w:val="04F33787"/>
    <w:rsid w:val="05340028"/>
    <w:rsid w:val="05530E80"/>
    <w:rsid w:val="05663F59"/>
    <w:rsid w:val="05922FA0"/>
    <w:rsid w:val="059D0DA7"/>
    <w:rsid w:val="05A351AD"/>
    <w:rsid w:val="05A86320"/>
    <w:rsid w:val="05AF5900"/>
    <w:rsid w:val="064410D3"/>
    <w:rsid w:val="06976AC0"/>
    <w:rsid w:val="06C158EB"/>
    <w:rsid w:val="06C61153"/>
    <w:rsid w:val="06E94E42"/>
    <w:rsid w:val="06EC66E0"/>
    <w:rsid w:val="070F1D43"/>
    <w:rsid w:val="073C31C4"/>
    <w:rsid w:val="07FA0816"/>
    <w:rsid w:val="08367FB9"/>
    <w:rsid w:val="08514A4D"/>
    <w:rsid w:val="08607386"/>
    <w:rsid w:val="08AF5C17"/>
    <w:rsid w:val="08D00067"/>
    <w:rsid w:val="093305F6"/>
    <w:rsid w:val="096D3B08"/>
    <w:rsid w:val="097E3F67"/>
    <w:rsid w:val="09C556F2"/>
    <w:rsid w:val="0A7C0096"/>
    <w:rsid w:val="0A7F7F97"/>
    <w:rsid w:val="0A9D041D"/>
    <w:rsid w:val="0AC86346"/>
    <w:rsid w:val="0AD943AB"/>
    <w:rsid w:val="0AEC6CAF"/>
    <w:rsid w:val="0B022976"/>
    <w:rsid w:val="0B185CF6"/>
    <w:rsid w:val="0B7A42BB"/>
    <w:rsid w:val="0B9F01C5"/>
    <w:rsid w:val="0BA034CD"/>
    <w:rsid w:val="0CAE5D96"/>
    <w:rsid w:val="0D0A1CB7"/>
    <w:rsid w:val="0D4C1C87"/>
    <w:rsid w:val="0D9B7D61"/>
    <w:rsid w:val="0DFF4F4B"/>
    <w:rsid w:val="0E4017EB"/>
    <w:rsid w:val="0E821FED"/>
    <w:rsid w:val="0EEC54CF"/>
    <w:rsid w:val="0EF16F8A"/>
    <w:rsid w:val="0EF3685E"/>
    <w:rsid w:val="0F3330FE"/>
    <w:rsid w:val="0F451083"/>
    <w:rsid w:val="0F607C6B"/>
    <w:rsid w:val="0FA77648"/>
    <w:rsid w:val="0FAF12D6"/>
    <w:rsid w:val="0FB91EB0"/>
    <w:rsid w:val="106C2D6C"/>
    <w:rsid w:val="10C5247C"/>
    <w:rsid w:val="10FB40F0"/>
    <w:rsid w:val="113D2012"/>
    <w:rsid w:val="11755C50"/>
    <w:rsid w:val="11C12C43"/>
    <w:rsid w:val="11D24E50"/>
    <w:rsid w:val="11DB182B"/>
    <w:rsid w:val="11DF7228"/>
    <w:rsid w:val="122B1B3D"/>
    <w:rsid w:val="130354DD"/>
    <w:rsid w:val="13BF31B2"/>
    <w:rsid w:val="13E1581F"/>
    <w:rsid w:val="13FB7F63"/>
    <w:rsid w:val="14447B5C"/>
    <w:rsid w:val="14883EEC"/>
    <w:rsid w:val="14B52807"/>
    <w:rsid w:val="14D7452C"/>
    <w:rsid w:val="15714980"/>
    <w:rsid w:val="157306F8"/>
    <w:rsid w:val="15B12FCF"/>
    <w:rsid w:val="160550C9"/>
    <w:rsid w:val="16247C45"/>
    <w:rsid w:val="16330957"/>
    <w:rsid w:val="17285513"/>
    <w:rsid w:val="174B2FAF"/>
    <w:rsid w:val="180513B0"/>
    <w:rsid w:val="18226406"/>
    <w:rsid w:val="18351C95"/>
    <w:rsid w:val="1864257A"/>
    <w:rsid w:val="18A75A15"/>
    <w:rsid w:val="18BF3C55"/>
    <w:rsid w:val="19145D4E"/>
    <w:rsid w:val="192817FA"/>
    <w:rsid w:val="193E6DB5"/>
    <w:rsid w:val="199E24EA"/>
    <w:rsid w:val="19A90B8D"/>
    <w:rsid w:val="19F13174"/>
    <w:rsid w:val="1A710F7F"/>
    <w:rsid w:val="1A9A7E36"/>
    <w:rsid w:val="1AF20311"/>
    <w:rsid w:val="1B5B12DF"/>
    <w:rsid w:val="1BDF4B14"/>
    <w:rsid w:val="1BE11E24"/>
    <w:rsid w:val="1C3B2B66"/>
    <w:rsid w:val="1C5823F6"/>
    <w:rsid w:val="1CA23671"/>
    <w:rsid w:val="1CA62868"/>
    <w:rsid w:val="1CC21F65"/>
    <w:rsid w:val="1CE04199"/>
    <w:rsid w:val="1D0165EA"/>
    <w:rsid w:val="1DC13FCB"/>
    <w:rsid w:val="1DEF6D8A"/>
    <w:rsid w:val="1DF62853"/>
    <w:rsid w:val="1E426EBA"/>
    <w:rsid w:val="1E731769"/>
    <w:rsid w:val="1F170346"/>
    <w:rsid w:val="1F5A0233"/>
    <w:rsid w:val="1FA37E2C"/>
    <w:rsid w:val="20400F69"/>
    <w:rsid w:val="20A17691"/>
    <w:rsid w:val="20EB54D5"/>
    <w:rsid w:val="20FF1092"/>
    <w:rsid w:val="21182154"/>
    <w:rsid w:val="217001E2"/>
    <w:rsid w:val="217F6677"/>
    <w:rsid w:val="21AD33E4"/>
    <w:rsid w:val="21D97B35"/>
    <w:rsid w:val="22511DC1"/>
    <w:rsid w:val="232A43C0"/>
    <w:rsid w:val="23AE429F"/>
    <w:rsid w:val="24336DB2"/>
    <w:rsid w:val="244C0469"/>
    <w:rsid w:val="246D6C5B"/>
    <w:rsid w:val="24AA57B9"/>
    <w:rsid w:val="24C74FB8"/>
    <w:rsid w:val="25186BC6"/>
    <w:rsid w:val="25A62424"/>
    <w:rsid w:val="25CE54D7"/>
    <w:rsid w:val="268362C1"/>
    <w:rsid w:val="268B161A"/>
    <w:rsid w:val="26B65D17"/>
    <w:rsid w:val="27075144"/>
    <w:rsid w:val="2729697B"/>
    <w:rsid w:val="27305364"/>
    <w:rsid w:val="275163C0"/>
    <w:rsid w:val="27574277"/>
    <w:rsid w:val="278A46DE"/>
    <w:rsid w:val="27A42993"/>
    <w:rsid w:val="28302479"/>
    <w:rsid w:val="284B1061"/>
    <w:rsid w:val="284D6B87"/>
    <w:rsid w:val="291637F3"/>
    <w:rsid w:val="295B52D4"/>
    <w:rsid w:val="29995DFC"/>
    <w:rsid w:val="29BF1766"/>
    <w:rsid w:val="29BF3AB4"/>
    <w:rsid w:val="2A5C1303"/>
    <w:rsid w:val="2AB54EB7"/>
    <w:rsid w:val="2B2142FB"/>
    <w:rsid w:val="2B473D61"/>
    <w:rsid w:val="2B88437A"/>
    <w:rsid w:val="2B9B22FF"/>
    <w:rsid w:val="2BAC3968"/>
    <w:rsid w:val="2BF437BD"/>
    <w:rsid w:val="2C83526D"/>
    <w:rsid w:val="2CB01DDA"/>
    <w:rsid w:val="2CC15D95"/>
    <w:rsid w:val="2D016192"/>
    <w:rsid w:val="2D306A77"/>
    <w:rsid w:val="2D915768"/>
    <w:rsid w:val="2DA42E84"/>
    <w:rsid w:val="2DBA6117"/>
    <w:rsid w:val="2DF102A2"/>
    <w:rsid w:val="2E35154B"/>
    <w:rsid w:val="2E4B3B69"/>
    <w:rsid w:val="2E5F13C2"/>
    <w:rsid w:val="2E67296D"/>
    <w:rsid w:val="2E76670C"/>
    <w:rsid w:val="2E9B1989"/>
    <w:rsid w:val="2EE87609"/>
    <w:rsid w:val="2F0401BB"/>
    <w:rsid w:val="2F393FC2"/>
    <w:rsid w:val="2F7E3ACA"/>
    <w:rsid w:val="2FD36512"/>
    <w:rsid w:val="2FD63906"/>
    <w:rsid w:val="2FD7142C"/>
    <w:rsid w:val="307849BD"/>
    <w:rsid w:val="30874C00"/>
    <w:rsid w:val="30E75174"/>
    <w:rsid w:val="30EE2ED1"/>
    <w:rsid w:val="311B207C"/>
    <w:rsid w:val="314F1BC2"/>
    <w:rsid w:val="316136A3"/>
    <w:rsid w:val="31792492"/>
    <w:rsid w:val="319B6BB5"/>
    <w:rsid w:val="331A1D5C"/>
    <w:rsid w:val="3328091C"/>
    <w:rsid w:val="333A0650"/>
    <w:rsid w:val="33680D19"/>
    <w:rsid w:val="338A7C0B"/>
    <w:rsid w:val="341C1B03"/>
    <w:rsid w:val="342C7F98"/>
    <w:rsid w:val="3436612C"/>
    <w:rsid w:val="348576A9"/>
    <w:rsid w:val="34A02734"/>
    <w:rsid w:val="34AC732B"/>
    <w:rsid w:val="351D5B33"/>
    <w:rsid w:val="35626FC7"/>
    <w:rsid w:val="359F479A"/>
    <w:rsid w:val="35A63D7A"/>
    <w:rsid w:val="360A5B9E"/>
    <w:rsid w:val="36176A26"/>
    <w:rsid w:val="36205C47"/>
    <w:rsid w:val="36DF7544"/>
    <w:rsid w:val="36E032BC"/>
    <w:rsid w:val="371A0FB8"/>
    <w:rsid w:val="37904CE2"/>
    <w:rsid w:val="379A16BD"/>
    <w:rsid w:val="385775AE"/>
    <w:rsid w:val="38651757"/>
    <w:rsid w:val="387D6F79"/>
    <w:rsid w:val="389B56ED"/>
    <w:rsid w:val="38C71038"/>
    <w:rsid w:val="38F31085"/>
    <w:rsid w:val="38F512A1"/>
    <w:rsid w:val="39364AF3"/>
    <w:rsid w:val="39545290"/>
    <w:rsid w:val="39B12CEE"/>
    <w:rsid w:val="39E3559D"/>
    <w:rsid w:val="39F71049"/>
    <w:rsid w:val="3A241712"/>
    <w:rsid w:val="3A59760D"/>
    <w:rsid w:val="3ACE4C36"/>
    <w:rsid w:val="3AE813BC"/>
    <w:rsid w:val="3B90705F"/>
    <w:rsid w:val="3BDC22A4"/>
    <w:rsid w:val="3BF84C04"/>
    <w:rsid w:val="3BFF5F92"/>
    <w:rsid w:val="3C21194E"/>
    <w:rsid w:val="3C917532"/>
    <w:rsid w:val="3CF47AC1"/>
    <w:rsid w:val="3D1C49E4"/>
    <w:rsid w:val="3D2E4D81"/>
    <w:rsid w:val="3D424389"/>
    <w:rsid w:val="3D483969"/>
    <w:rsid w:val="3DD1395F"/>
    <w:rsid w:val="3DD376D7"/>
    <w:rsid w:val="3DD75419"/>
    <w:rsid w:val="3DE90CA8"/>
    <w:rsid w:val="3E3F6B1A"/>
    <w:rsid w:val="3E952BDE"/>
    <w:rsid w:val="3E970704"/>
    <w:rsid w:val="3EB92D70"/>
    <w:rsid w:val="3EC36668"/>
    <w:rsid w:val="3F7B1DD4"/>
    <w:rsid w:val="3F961152"/>
    <w:rsid w:val="3FA56E51"/>
    <w:rsid w:val="401069C0"/>
    <w:rsid w:val="40786313"/>
    <w:rsid w:val="409018AF"/>
    <w:rsid w:val="40956EC5"/>
    <w:rsid w:val="40AE5771"/>
    <w:rsid w:val="418E2292"/>
    <w:rsid w:val="4192786B"/>
    <w:rsid w:val="41CD5EE4"/>
    <w:rsid w:val="42114C71"/>
    <w:rsid w:val="424D6701"/>
    <w:rsid w:val="42A02CC2"/>
    <w:rsid w:val="42A15FF5"/>
    <w:rsid w:val="42B45D29"/>
    <w:rsid w:val="42CA40AF"/>
    <w:rsid w:val="43692FB5"/>
    <w:rsid w:val="43923B90"/>
    <w:rsid w:val="43BB30E7"/>
    <w:rsid w:val="43F1520C"/>
    <w:rsid w:val="43FB7987"/>
    <w:rsid w:val="441B1DD7"/>
    <w:rsid w:val="443A6FB3"/>
    <w:rsid w:val="449D1AD4"/>
    <w:rsid w:val="44F22B38"/>
    <w:rsid w:val="45124F88"/>
    <w:rsid w:val="458A4B1F"/>
    <w:rsid w:val="45943BEF"/>
    <w:rsid w:val="45A656D1"/>
    <w:rsid w:val="45C75D73"/>
    <w:rsid w:val="45F823D0"/>
    <w:rsid w:val="46072613"/>
    <w:rsid w:val="462A00B0"/>
    <w:rsid w:val="464E0242"/>
    <w:rsid w:val="466F1F67"/>
    <w:rsid w:val="46A165C4"/>
    <w:rsid w:val="46CE4EDF"/>
    <w:rsid w:val="46EC35B7"/>
    <w:rsid w:val="47370CD6"/>
    <w:rsid w:val="475F022D"/>
    <w:rsid w:val="476B4E24"/>
    <w:rsid w:val="47C06F1E"/>
    <w:rsid w:val="47D76015"/>
    <w:rsid w:val="47E26E94"/>
    <w:rsid w:val="47EA6100"/>
    <w:rsid w:val="47F646ED"/>
    <w:rsid w:val="481E3C44"/>
    <w:rsid w:val="482079BC"/>
    <w:rsid w:val="4886442C"/>
    <w:rsid w:val="49301E81"/>
    <w:rsid w:val="49570CBB"/>
    <w:rsid w:val="49A95790"/>
    <w:rsid w:val="49E07403"/>
    <w:rsid w:val="49EB7B56"/>
    <w:rsid w:val="4A084BAC"/>
    <w:rsid w:val="4A525E27"/>
    <w:rsid w:val="4A545DDC"/>
    <w:rsid w:val="4AF56EDE"/>
    <w:rsid w:val="4BDF36EB"/>
    <w:rsid w:val="4BF52F0E"/>
    <w:rsid w:val="4C1C6762"/>
    <w:rsid w:val="4C20442F"/>
    <w:rsid w:val="4C4D4AF8"/>
    <w:rsid w:val="4C523EBC"/>
    <w:rsid w:val="4C6360CA"/>
    <w:rsid w:val="4C7622A1"/>
    <w:rsid w:val="4CC36B68"/>
    <w:rsid w:val="4CD42794"/>
    <w:rsid w:val="4CE511D4"/>
    <w:rsid w:val="4CF84A64"/>
    <w:rsid w:val="4D7E6069"/>
    <w:rsid w:val="4D8F4DB7"/>
    <w:rsid w:val="4DD23507"/>
    <w:rsid w:val="4DED6593"/>
    <w:rsid w:val="4E3E6DEE"/>
    <w:rsid w:val="4EDD2163"/>
    <w:rsid w:val="4F8E16AF"/>
    <w:rsid w:val="4F934F18"/>
    <w:rsid w:val="4FD33566"/>
    <w:rsid w:val="50597F0F"/>
    <w:rsid w:val="506A3ECB"/>
    <w:rsid w:val="508B3E41"/>
    <w:rsid w:val="51A753D3"/>
    <w:rsid w:val="520C2CFC"/>
    <w:rsid w:val="521C2DE1"/>
    <w:rsid w:val="52490F39"/>
    <w:rsid w:val="525564B4"/>
    <w:rsid w:val="527032EE"/>
    <w:rsid w:val="52DC6BD6"/>
    <w:rsid w:val="52E64281"/>
    <w:rsid w:val="530879CB"/>
    <w:rsid w:val="537F7C8D"/>
    <w:rsid w:val="53837051"/>
    <w:rsid w:val="53BA0CC5"/>
    <w:rsid w:val="53F73CC7"/>
    <w:rsid w:val="547F1F0F"/>
    <w:rsid w:val="54857525"/>
    <w:rsid w:val="54956AB1"/>
    <w:rsid w:val="54972DB4"/>
    <w:rsid w:val="54C55B73"/>
    <w:rsid w:val="54CA318A"/>
    <w:rsid w:val="54D73925"/>
    <w:rsid w:val="54E659AB"/>
    <w:rsid w:val="554D5C33"/>
    <w:rsid w:val="557D01FC"/>
    <w:rsid w:val="55B94FAC"/>
    <w:rsid w:val="55C14C76"/>
    <w:rsid w:val="55F10BEA"/>
    <w:rsid w:val="56327239"/>
    <w:rsid w:val="56464A92"/>
    <w:rsid w:val="565D1DDC"/>
    <w:rsid w:val="56AB0D99"/>
    <w:rsid w:val="56B37C4E"/>
    <w:rsid w:val="56BE6D1E"/>
    <w:rsid w:val="56C54870"/>
    <w:rsid w:val="56E400A4"/>
    <w:rsid w:val="56FC15F5"/>
    <w:rsid w:val="572A6162"/>
    <w:rsid w:val="57430FD1"/>
    <w:rsid w:val="576176AA"/>
    <w:rsid w:val="57E207EA"/>
    <w:rsid w:val="581D7A74"/>
    <w:rsid w:val="581F37ED"/>
    <w:rsid w:val="583354EA"/>
    <w:rsid w:val="588F4C6F"/>
    <w:rsid w:val="58A4192B"/>
    <w:rsid w:val="58DC7930"/>
    <w:rsid w:val="58E6430A"/>
    <w:rsid w:val="59162E41"/>
    <w:rsid w:val="595474C6"/>
    <w:rsid w:val="59D40607"/>
    <w:rsid w:val="5A1153B7"/>
    <w:rsid w:val="5A1629CD"/>
    <w:rsid w:val="5A1D1FAE"/>
    <w:rsid w:val="5AEB5F4A"/>
    <w:rsid w:val="5B062A42"/>
    <w:rsid w:val="5BB412DA"/>
    <w:rsid w:val="5C476E3A"/>
    <w:rsid w:val="5C806824"/>
    <w:rsid w:val="5CA35125"/>
    <w:rsid w:val="5D142EC9"/>
    <w:rsid w:val="5D635019"/>
    <w:rsid w:val="5E622685"/>
    <w:rsid w:val="5E761C8C"/>
    <w:rsid w:val="5F577D10"/>
    <w:rsid w:val="5F661D01"/>
    <w:rsid w:val="5F8A562B"/>
    <w:rsid w:val="5FEA73A6"/>
    <w:rsid w:val="60A07495"/>
    <w:rsid w:val="60C34F31"/>
    <w:rsid w:val="61151C31"/>
    <w:rsid w:val="612C0D28"/>
    <w:rsid w:val="61D03DA9"/>
    <w:rsid w:val="61F21F72"/>
    <w:rsid w:val="62131BA3"/>
    <w:rsid w:val="621974FF"/>
    <w:rsid w:val="62BB6808"/>
    <w:rsid w:val="62E0001C"/>
    <w:rsid w:val="63406C77"/>
    <w:rsid w:val="637D586B"/>
    <w:rsid w:val="63C96D02"/>
    <w:rsid w:val="63E63410"/>
    <w:rsid w:val="63ED479F"/>
    <w:rsid w:val="63F35B2D"/>
    <w:rsid w:val="64032214"/>
    <w:rsid w:val="64065861"/>
    <w:rsid w:val="646A5DEF"/>
    <w:rsid w:val="64A70DF2"/>
    <w:rsid w:val="64EA6F30"/>
    <w:rsid w:val="650E0E71"/>
    <w:rsid w:val="651915C4"/>
    <w:rsid w:val="652C7549"/>
    <w:rsid w:val="652F3F71"/>
    <w:rsid w:val="654E5711"/>
    <w:rsid w:val="65C43C25"/>
    <w:rsid w:val="65E240AB"/>
    <w:rsid w:val="65E9368C"/>
    <w:rsid w:val="65F55B8D"/>
    <w:rsid w:val="663F646A"/>
    <w:rsid w:val="66ED0F5A"/>
    <w:rsid w:val="673D77EB"/>
    <w:rsid w:val="684A6664"/>
    <w:rsid w:val="68662D72"/>
    <w:rsid w:val="68B00491"/>
    <w:rsid w:val="691E364C"/>
    <w:rsid w:val="69A753F0"/>
    <w:rsid w:val="69BA03A8"/>
    <w:rsid w:val="6A465CEE"/>
    <w:rsid w:val="6A9562C0"/>
    <w:rsid w:val="6AC567E1"/>
    <w:rsid w:val="6B255056"/>
    <w:rsid w:val="6B5670CE"/>
    <w:rsid w:val="6B737C7F"/>
    <w:rsid w:val="6B7451EC"/>
    <w:rsid w:val="6B792DBC"/>
    <w:rsid w:val="6BA02A3F"/>
    <w:rsid w:val="6BE446D9"/>
    <w:rsid w:val="6C1F7336"/>
    <w:rsid w:val="6C225202"/>
    <w:rsid w:val="6C3C2767"/>
    <w:rsid w:val="6C592BA9"/>
    <w:rsid w:val="6C89702F"/>
    <w:rsid w:val="6C8D4D71"/>
    <w:rsid w:val="6CF22E26"/>
    <w:rsid w:val="6D401DE3"/>
    <w:rsid w:val="6D4A0EB4"/>
    <w:rsid w:val="6D8141AA"/>
    <w:rsid w:val="6DB620A5"/>
    <w:rsid w:val="6DC367D9"/>
    <w:rsid w:val="6E5B0404"/>
    <w:rsid w:val="6E891568"/>
    <w:rsid w:val="6ED1456E"/>
    <w:rsid w:val="6ED22F0F"/>
    <w:rsid w:val="6F0F4163"/>
    <w:rsid w:val="6F5B73A8"/>
    <w:rsid w:val="6F5D6CA3"/>
    <w:rsid w:val="700F5EFC"/>
    <w:rsid w:val="702F613F"/>
    <w:rsid w:val="703B2D36"/>
    <w:rsid w:val="70537195"/>
    <w:rsid w:val="70877D29"/>
    <w:rsid w:val="70B1020A"/>
    <w:rsid w:val="70CE5958"/>
    <w:rsid w:val="716660F8"/>
    <w:rsid w:val="717209D9"/>
    <w:rsid w:val="71924BD7"/>
    <w:rsid w:val="71BC2356"/>
    <w:rsid w:val="71C22345"/>
    <w:rsid w:val="72674AB3"/>
    <w:rsid w:val="727A4473"/>
    <w:rsid w:val="73243F55"/>
    <w:rsid w:val="73546B26"/>
    <w:rsid w:val="737751A5"/>
    <w:rsid w:val="738A3D0E"/>
    <w:rsid w:val="73AC7110"/>
    <w:rsid w:val="7400407A"/>
    <w:rsid w:val="746740F9"/>
    <w:rsid w:val="746F1200"/>
    <w:rsid w:val="75491A51"/>
    <w:rsid w:val="754B3A1B"/>
    <w:rsid w:val="75736ACE"/>
    <w:rsid w:val="760154CE"/>
    <w:rsid w:val="764741E2"/>
    <w:rsid w:val="76A553AD"/>
    <w:rsid w:val="76AA651F"/>
    <w:rsid w:val="7725204A"/>
    <w:rsid w:val="773329B9"/>
    <w:rsid w:val="77422BFC"/>
    <w:rsid w:val="776C1A27"/>
    <w:rsid w:val="77C16217"/>
    <w:rsid w:val="78522B8C"/>
    <w:rsid w:val="78715547"/>
    <w:rsid w:val="789B5060"/>
    <w:rsid w:val="78C167FC"/>
    <w:rsid w:val="78E026CC"/>
    <w:rsid w:val="78F817C4"/>
    <w:rsid w:val="792F71B0"/>
    <w:rsid w:val="7999735A"/>
    <w:rsid w:val="79EB1329"/>
    <w:rsid w:val="7A100D8F"/>
    <w:rsid w:val="7A106FE1"/>
    <w:rsid w:val="7A187C44"/>
    <w:rsid w:val="7A940A83"/>
    <w:rsid w:val="7B352F09"/>
    <w:rsid w:val="7B656EB9"/>
    <w:rsid w:val="7BDA1655"/>
    <w:rsid w:val="7C18217D"/>
    <w:rsid w:val="7C2A5A86"/>
    <w:rsid w:val="7C406AE3"/>
    <w:rsid w:val="7C63164A"/>
    <w:rsid w:val="7C6A0C2B"/>
    <w:rsid w:val="7C855A65"/>
    <w:rsid w:val="7CA0464C"/>
    <w:rsid w:val="7CAA1027"/>
    <w:rsid w:val="7CBF3299"/>
    <w:rsid w:val="7CC55E61"/>
    <w:rsid w:val="7CDE33C7"/>
    <w:rsid w:val="7D0311CD"/>
    <w:rsid w:val="7D2863F0"/>
    <w:rsid w:val="7D2F0C01"/>
    <w:rsid w:val="7D6F2271"/>
    <w:rsid w:val="7DA203D6"/>
    <w:rsid w:val="7DD02D0F"/>
    <w:rsid w:val="7DDD542C"/>
    <w:rsid w:val="7E132BFC"/>
    <w:rsid w:val="7E1A21DD"/>
    <w:rsid w:val="7E1C7D03"/>
    <w:rsid w:val="7E1E25E2"/>
    <w:rsid w:val="7EBE700C"/>
    <w:rsid w:val="7EFB0260"/>
    <w:rsid w:val="7F4C4618"/>
    <w:rsid w:val="7F6000C3"/>
    <w:rsid w:val="7FAC55A3"/>
    <w:rsid w:val="7FCC39AA"/>
    <w:rsid w:val="7FD80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4">
    <w:name w:val="heading 1"/>
    <w:basedOn w:val="1"/>
    <w:next w:val="1"/>
    <w:autoRedefine/>
    <w:qFormat/>
    <w:uiPriority w:val="0"/>
    <w:pPr>
      <w:keepNext/>
      <w:keepLines/>
      <w:spacing w:before="340" w:after="330" w:line="360" w:lineRule="auto"/>
      <w:jc w:val="center"/>
      <w:outlineLvl w:val="0"/>
    </w:pPr>
    <w:rPr>
      <w:b/>
      <w:bCs/>
      <w:sz w:val="36"/>
      <w:szCs w:val="44"/>
    </w:rPr>
  </w:style>
  <w:style w:type="paragraph" w:styleId="5">
    <w:name w:val="heading 2"/>
    <w:basedOn w:val="1"/>
    <w:next w:val="1"/>
    <w:link w:val="209"/>
    <w:autoRedefine/>
    <w:qFormat/>
    <w:uiPriority w:val="0"/>
    <w:pPr>
      <w:keepNext/>
      <w:keepLines/>
      <w:spacing w:before="20" w:after="20" w:line="416" w:lineRule="auto"/>
      <w:outlineLvl w:val="1"/>
    </w:pPr>
    <w:rPr>
      <w:rFonts w:ascii="Calibri Light" w:hAnsi="Calibri Light"/>
      <w:b/>
      <w:bCs/>
      <w:sz w:val="24"/>
      <w:szCs w:val="32"/>
    </w:rPr>
  </w:style>
  <w:style w:type="paragraph" w:styleId="6">
    <w:name w:val="heading 3"/>
    <w:basedOn w:val="1"/>
    <w:next w:val="1"/>
    <w:autoRedefine/>
    <w:qFormat/>
    <w:uiPriority w:val="0"/>
    <w:pPr>
      <w:keepNext/>
      <w:keepLines/>
      <w:spacing w:before="20" w:after="20" w:line="416" w:lineRule="auto"/>
      <w:outlineLvl w:val="2"/>
    </w:pPr>
    <w:rPr>
      <w:b/>
      <w:bCs/>
      <w:sz w:val="24"/>
      <w:szCs w:val="32"/>
    </w:rPr>
  </w:style>
  <w:style w:type="paragraph" w:styleId="7">
    <w:name w:val="heading 4"/>
    <w:basedOn w:val="1"/>
    <w:next w:val="1"/>
    <w:link w:val="50"/>
    <w:autoRedefine/>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51"/>
    <w:autoRedefine/>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52"/>
    <w:autoRedefine/>
    <w:unhideWhenUsed/>
    <w:qFormat/>
    <w:uiPriority w:val="9"/>
    <w:pPr>
      <w:keepNext/>
      <w:keepLines/>
      <w:spacing w:before="320" w:after="200"/>
      <w:outlineLvl w:val="5"/>
    </w:pPr>
    <w:rPr>
      <w:rFonts w:ascii="Arial" w:hAnsi="Arial" w:eastAsia="Arial" w:cs="Arial"/>
      <w:b/>
      <w:bCs/>
      <w:sz w:val="22"/>
    </w:rPr>
  </w:style>
  <w:style w:type="paragraph" w:styleId="10">
    <w:name w:val="heading 7"/>
    <w:basedOn w:val="1"/>
    <w:next w:val="1"/>
    <w:link w:val="53"/>
    <w:autoRedefine/>
    <w:unhideWhenUsed/>
    <w:qFormat/>
    <w:uiPriority w:val="9"/>
    <w:pPr>
      <w:keepNext/>
      <w:keepLines/>
      <w:spacing w:before="320" w:after="200"/>
      <w:outlineLvl w:val="6"/>
    </w:pPr>
    <w:rPr>
      <w:rFonts w:ascii="Arial" w:hAnsi="Arial" w:eastAsia="Arial" w:cs="Arial"/>
      <w:b/>
      <w:bCs/>
      <w:i/>
      <w:iCs/>
      <w:sz w:val="22"/>
    </w:rPr>
  </w:style>
  <w:style w:type="paragraph" w:styleId="11">
    <w:name w:val="heading 8"/>
    <w:basedOn w:val="1"/>
    <w:next w:val="1"/>
    <w:link w:val="54"/>
    <w:autoRedefine/>
    <w:unhideWhenUsed/>
    <w:qFormat/>
    <w:uiPriority w:val="9"/>
    <w:pPr>
      <w:keepNext/>
      <w:keepLines/>
      <w:spacing w:before="320" w:after="200"/>
      <w:outlineLvl w:val="7"/>
    </w:pPr>
    <w:rPr>
      <w:rFonts w:ascii="Arial" w:hAnsi="Arial" w:eastAsia="Arial" w:cs="Arial"/>
      <w:i/>
      <w:iCs/>
      <w:sz w:val="22"/>
    </w:rPr>
  </w:style>
  <w:style w:type="paragraph" w:styleId="12">
    <w:name w:val="heading 9"/>
    <w:basedOn w:val="1"/>
    <w:next w:val="1"/>
    <w:link w:val="55"/>
    <w:autoRedefine/>
    <w:unhideWhenUsed/>
    <w:qFormat/>
    <w:uiPriority w:val="9"/>
    <w:pPr>
      <w:keepNext/>
      <w:keepLines/>
      <w:spacing w:before="320" w:after="200"/>
      <w:outlineLvl w:val="8"/>
    </w:pPr>
    <w:rPr>
      <w:rFonts w:ascii="Arial" w:hAnsi="Arial" w:eastAsia="Arial" w:cs="Arial"/>
      <w:i/>
      <w:iCs/>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10"/>
    <w:autoRedefine/>
    <w:qFormat/>
    <w:uiPriority w:val="0"/>
    <w:pPr>
      <w:spacing w:after="120"/>
    </w:pPr>
  </w:style>
  <w:style w:type="paragraph" w:styleId="3">
    <w:name w:val="Body Text 2"/>
    <w:basedOn w:val="1"/>
    <w:next w:val="1"/>
    <w:autoRedefine/>
    <w:qFormat/>
    <w:uiPriority w:val="0"/>
    <w:pPr>
      <w:spacing w:after="120" w:line="480" w:lineRule="auto"/>
    </w:pPr>
    <w:rPr>
      <w:szCs w:val="20"/>
    </w:rPr>
  </w:style>
  <w:style w:type="paragraph" w:styleId="13">
    <w:name w:val="toc 7"/>
    <w:basedOn w:val="1"/>
    <w:next w:val="1"/>
    <w:autoRedefine/>
    <w:unhideWhenUsed/>
    <w:qFormat/>
    <w:uiPriority w:val="39"/>
    <w:pPr>
      <w:spacing w:after="57"/>
      <w:ind w:left="1701"/>
    </w:pPr>
  </w:style>
  <w:style w:type="paragraph" w:styleId="14">
    <w:name w:val="Normal Indent"/>
    <w:basedOn w:val="1"/>
    <w:autoRedefine/>
    <w:qFormat/>
    <w:uiPriority w:val="0"/>
    <w:pPr>
      <w:ind w:firstLine="420"/>
    </w:pPr>
    <w:rPr>
      <w:szCs w:val="20"/>
    </w:rPr>
  </w:style>
  <w:style w:type="paragraph" w:styleId="15">
    <w:name w:val="caption"/>
    <w:basedOn w:val="1"/>
    <w:next w:val="1"/>
    <w:autoRedefine/>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6">
    <w:name w:val="toa heading"/>
    <w:basedOn w:val="1"/>
    <w:next w:val="1"/>
    <w:qFormat/>
    <w:uiPriority w:val="0"/>
    <w:pPr>
      <w:spacing w:before="120" w:beforeLines="0" w:beforeAutospacing="0"/>
    </w:pPr>
    <w:rPr>
      <w:rFonts w:ascii="Arial" w:hAnsi="Arial"/>
      <w:sz w:val="24"/>
    </w:rPr>
  </w:style>
  <w:style w:type="paragraph" w:styleId="17">
    <w:name w:val="Body Text Indent"/>
    <w:basedOn w:val="1"/>
    <w:next w:val="18"/>
    <w:autoRedefine/>
    <w:qFormat/>
    <w:uiPriority w:val="0"/>
    <w:pPr>
      <w:spacing w:after="120"/>
      <w:ind w:left="200"/>
    </w:pPr>
  </w:style>
  <w:style w:type="paragraph" w:styleId="18">
    <w:name w:val="envelope return"/>
    <w:basedOn w:val="1"/>
    <w:autoRedefine/>
    <w:qFormat/>
    <w:uiPriority w:val="0"/>
    <w:rPr>
      <w:rFonts w:ascii="Arial" w:hAnsi="Arial" w:cs="Arial"/>
      <w:sz w:val="34"/>
      <w:szCs w:val="24"/>
    </w:rPr>
  </w:style>
  <w:style w:type="paragraph" w:styleId="19">
    <w:name w:val="toc 5"/>
    <w:basedOn w:val="1"/>
    <w:next w:val="1"/>
    <w:autoRedefine/>
    <w:unhideWhenUsed/>
    <w:qFormat/>
    <w:uiPriority w:val="39"/>
    <w:pPr>
      <w:spacing w:after="57"/>
      <w:ind w:left="1134"/>
    </w:pPr>
  </w:style>
  <w:style w:type="paragraph" w:styleId="20">
    <w:name w:val="toc 3"/>
    <w:basedOn w:val="1"/>
    <w:next w:val="1"/>
    <w:autoRedefine/>
    <w:unhideWhenUsed/>
    <w:qFormat/>
    <w:uiPriority w:val="39"/>
    <w:pPr>
      <w:spacing w:after="57"/>
      <w:ind w:left="567"/>
    </w:pPr>
  </w:style>
  <w:style w:type="paragraph" w:styleId="21">
    <w:name w:val="Plain Text"/>
    <w:basedOn w:val="1"/>
    <w:autoRedefine/>
    <w:qFormat/>
    <w:uiPriority w:val="0"/>
    <w:rPr>
      <w:rFonts w:ascii="宋体" w:hAnsi="Courier New"/>
      <w:sz w:val="20"/>
      <w:szCs w:val="21"/>
    </w:rPr>
  </w:style>
  <w:style w:type="paragraph" w:styleId="22">
    <w:name w:val="toc 8"/>
    <w:basedOn w:val="1"/>
    <w:next w:val="1"/>
    <w:autoRedefine/>
    <w:unhideWhenUsed/>
    <w:qFormat/>
    <w:uiPriority w:val="39"/>
    <w:pPr>
      <w:spacing w:after="57"/>
      <w:ind w:left="1984"/>
    </w:pPr>
  </w:style>
  <w:style w:type="paragraph" w:styleId="23">
    <w:name w:val="Date"/>
    <w:basedOn w:val="1"/>
    <w:next w:val="1"/>
    <w:autoRedefine/>
    <w:qFormat/>
    <w:uiPriority w:val="0"/>
    <w:rPr>
      <w:rFonts w:eastAsia="黑体"/>
      <w:sz w:val="24"/>
      <w:szCs w:val="20"/>
    </w:rPr>
  </w:style>
  <w:style w:type="paragraph" w:styleId="24">
    <w:name w:val="Body Text Indent 2"/>
    <w:basedOn w:val="1"/>
    <w:autoRedefine/>
    <w:qFormat/>
    <w:uiPriority w:val="0"/>
    <w:pPr>
      <w:spacing w:line="240" w:lineRule="atLeast"/>
      <w:ind w:left="420"/>
    </w:pPr>
    <w:rPr>
      <w:rFonts w:ascii="Arial" w:hAnsi="Arial" w:cs="Arial"/>
      <w:sz w:val="22"/>
    </w:rPr>
  </w:style>
  <w:style w:type="paragraph" w:styleId="25">
    <w:name w:val="endnote text"/>
    <w:basedOn w:val="1"/>
    <w:link w:val="192"/>
    <w:autoRedefine/>
    <w:semiHidden/>
    <w:unhideWhenUsed/>
    <w:qFormat/>
    <w:uiPriority w:val="99"/>
    <w:rPr>
      <w:sz w:val="20"/>
    </w:rPr>
  </w:style>
  <w:style w:type="paragraph" w:styleId="26">
    <w:name w:val="footer"/>
    <w:basedOn w:val="1"/>
    <w:autoRedefine/>
    <w:unhideWhenUsed/>
    <w:qFormat/>
    <w:uiPriority w:val="99"/>
    <w:pPr>
      <w:tabs>
        <w:tab w:val="center" w:pos="4153"/>
        <w:tab w:val="right" w:pos="8306"/>
      </w:tabs>
      <w:jc w:val="left"/>
    </w:pPr>
    <w:rPr>
      <w:sz w:val="18"/>
      <w:szCs w:val="18"/>
    </w:rPr>
  </w:style>
  <w:style w:type="paragraph" w:styleId="27">
    <w:name w:val="header"/>
    <w:basedOn w:val="1"/>
    <w:autoRedefine/>
    <w:unhideWhenUsed/>
    <w:qFormat/>
    <w:uiPriority w:val="99"/>
    <w:pPr>
      <w:pBdr>
        <w:bottom w:val="single" w:color="auto" w:sz="6" w:space="1"/>
      </w:pBdr>
      <w:tabs>
        <w:tab w:val="center" w:pos="4153"/>
        <w:tab w:val="right" w:pos="8306"/>
      </w:tabs>
      <w:jc w:val="center"/>
    </w:pPr>
    <w:rPr>
      <w:sz w:val="18"/>
      <w:szCs w:val="18"/>
    </w:rPr>
  </w:style>
  <w:style w:type="paragraph" w:styleId="28">
    <w:name w:val="toc 1"/>
    <w:basedOn w:val="1"/>
    <w:next w:val="1"/>
    <w:autoRedefine/>
    <w:qFormat/>
    <w:uiPriority w:val="0"/>
  </w:style>
  <w:style w:type="paragraph" w:styleId="29">
    <w:name w:val="toc 4"/>
    <w:basedOn w:val="1"/>
    <w:next w:val="1"/>
    <w:autoRedefine/>
    <w:unhideWhenUsed/>
    <w:qFormat/>
    <w:uiPriority w:val="39"/>
    <w:pPr>
      <w:spacing w:after="57"/>
      <w:ind w:left="850"/>
    </w:pPr>
  </w:style>
  <w:style w:type="paragraph" w:styleId="30">
    <w:name w:val="Subtitle"/>
    <w:basedOn w:val="1"/>
    <w:next w:val="1"/>
    <w:link w:val="58"/>
    <w:autoRedefine/>
    <w:qFormat/>
    <w:uiPriority w:val="11"/>
    <w:pPr>
      <w:spacing w:before="200" w:after="200"/>
    </w:pPr>
    <w:rPr>
      <w:sz w:val="24"/>
      <w:szCs w:val="24"/>
    </w:rPr>
  </w:style>
  <w:style w:type="paragraph" w:styleId="31">
    <w:name w:val="footnote text"/>
    <w:basedOn w:val="1"/>
    <w:link w:val="191"/>
    <w:autoRedefine/>
    <w:semiHidden/>
    <w:unhideWhenUsed/>
    <w:qFormat/>
    <w:uiPriority w:val="99"/>
    <w:pPr>
      <w:spacing w:after="40"/>
    </w:pPr>
    <w:rPr>
      <w:sz w:val="18"/>
    </w:rPr>
  </w:style>
  <w:style w:type="paragraph" w:styleId="32">
    <w:name w:val="toc 6"/>
    <w:basedOn w:val="1"/>
    <w:next w:val="1"/>
    <w:autoRedefine/>
    <w:unhideWhenUsed/>
    <w:qFormat/>
    <w:uiPriority w:val="39"/>
    <w:pPr>
      <w:spacing w:after="57"/>
      <w:ind w:left="1417"/>
    </w:pPr>
  </w:style>
  <w:style w:type="paragraph" w:styleId="33">
    <w:name w:val="Body Text Indent 3"/>
    <w:basedOn w:val="1"/>
    <w:autoRedefine/>
    <w:qFormat/>
    <w:uiPriority w:val="0"/>
    <w:pPr>
      <w:spacing w:after="120"/>
      <w:ind w:left="420"/>
    </w:pPr>
    <w:rPr>
      <w:sz w:val="16"/>
      <w:szCs w:val="16"/>
    </w:rPr>
  </w:style>
  <w:style w:type="paragraph" w:styleId="34">
    <w:name w:val="table of figures"/>
    <w:basedOn w:val="1"/>
    <w:next w:val="1"/>
    <w:autoRedefine/>
    <w:unhideWhenUsed/>
    <w:qFormat/>
    <w:uiPriority w:val="99"/>
  </w:style>
  <w:style w:type="paragraph" w:styleId="35">
    <w:name w:val="toc 2"/>
    <w:basedOn w:val="1"/>
    <w:next w:val="1"/>
    <w:autoRedefine/>
    <w:unhideWhenUsed/>
    <w:qFormat/>
    <w:uiPriority w:val="39"/>
    <w:pPr>
      <w:spacing w:after="57"/>
      <w:ind w:left="283"/>
    </w:pPr>
  </w:style>
  <w:style w:type="paragraph" w:styleId="36">
    <w:name w:val="toc 9"/>
    <w:basedOn w:val="1"/>
    <w:next w:val="1"/>
    <w:autoRedefine/>
    <w:unhideWhenUsed/>
    <w:qFormat/>
    <w:uiPriority w:val="39"/>
    <w:pPr>
      <w:spacing w:after="57"/>
      <w:ind w:left="2268"/>
    </w:pPr>
  </w:style>
  <w:style w:type="paragraph" w:styleId="37">
    <w:name w:val="Normal (Web)"/>
    <w:basedOn w:val="1"/>
    <w:autoRedefine/>
    <w:qFormat/>
    <w:uiPriority w:val="0"/>
    <w:pPr>
      <w:spacing w:before="100" w:beforeAutospacing="1" w:after="100" w:afterAutospacing="1"/>
    </w:pPr>
    <w:rPr>
      <w:rFonts w:ascii="宋体" w:hAnsi="宋体" w:cs="宋体"/>
      <w:szCs w:val="20"/>
    </w:rPr>
  </w:style>
  <w:style w:type="paragraph" w:styleId="38">
    <w:name w:val="Title"/>
    <w:basedOn w:val="1"/>
    <w:next w:val="1"/>
    <w:autoRedefine/>
    <w:qFormat/>
    <w:uiPriority w:val="0"/>
    <w:pPr>
      <w:spacing w:before="240" w:after="60"/>
      <w:jc w:val="center"/>
      <w:outlineLvl w:val="0"/>
    </w:pPr>
    <w:rPr>
      <w:rFonts w:ascii="Cambria" w:hAnsi="Cambria"/>
      <w:b/>
      <w:bCs/>
      <w:sz w:val="32"/>
      <w:szCs w:val="32"/>
    </w:rPr>
  </w:style>
  <w:style w:type="paragraph" w:styleId="39">
    <w:name w:val="Body Text First Indent 2"/>
    <w:basedOn w:val="17"/>
    <w:autoRedefine/>
    <w:qFormat/>
    <w:uiPriority w:val="0"/>
    <w:pPr>
      <w:ind w:left="420" w:firstLine="420"/>
    </w:pPr>
  </w:style>
  <w:style w:type="table" w:styleId="41">
    <w:name w:val="Table Grid"/>
    <w:basedOn w:val="40"/>
    <w:autoRedefine/>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endnote reference"/>
    <w:basedOn w:val="42"/>
    <w:autoRedefine/>
    <w:semiHidden/>
    <w:unhideWhenUsed/>
    <w:qFormat/>
    <w:uiPriority w:val="99"/>
    <w:rPr>
      <w:vertAlign w:val="superscript"/>
    </w:rPr>
  </w:style>
  <w:style w:type="character" w:styleId="44">
    <w:name w:val="page number"/>
    <w:basedOn w:val="42"/>
    <w:autoRedefine/>
    <w:qFormat/>
    <w:uiPriority w:val="0"/>
  </w:style>
  <w:style w:type="character" w:styleId="45">
    <w:name w:val="Hyperlink"/>
    <w:basedOn w:val="42"/>
    <w:autoRedefine/>
    <w:qFormat/>
    <w:uiPriority w:val="0"/>
    <w:rPr>
      <w:color w:val="0000FF"/>
      <w:u w:val="single"/>
    </w:rPr>
  </w:style>
  <w:style w:type="character" w:styleId="46">
    <w:name w:val="footnote reference"/>
    <w:basedOn w:val="42"/>
    <w:autoRedefine/>
    <w:unhideWhenUsed/>
    <w:qFormat/>
    <w:uiPriority w:val="99"/>
    <w:rPr>
      <w:vertAlign w:val="superscript"/>
    </w:rPr>
  </w:style>
  <w:style w:type="character" w:customStyle="1" w:styleId="47">
    <w:name w:val="Heading 1 Char"/>
    <w:basedOn w:val="42"/>
    <w:autoRedefine/>
    <w:qFormat/>
    <w:uiPriority w:val="9"/>
    <w:rPr>
      <w:rFonts w:ascii="Arial" w:hAnsi="Arial" w:eastAsia="Arial" w:cs="Arial"/>
      <w:sz w:val="40"/>
      <w:szCs w:val="40"/>
    </w:rPr>
  </w:style>
  <w:style w:type="character" w:customStyle="1" w:styleId="48">
    <w:name w:val="Heading 2 Char"/>
    <w:basedOn w:val="42"/>
    <w:autoRedefine/>
    <w:qFormat/>
    <w:uiPriority w:val="9"/>
    <w:rPr>
      <w:rFonts w:ascii="Arial" w:hAnsi="Arial" w:eastAsia="Arial" w:cs="Arial"/>
      <w:sz w:val="34"/>
    </w:rPr>
  </w:style>
  <w:style w:type="character" w:customStyle="1" w:styleId="49">
    <w:name w:val="Heading 3 Char"/>
    <w:basedOn w:val="42"/>
    <w:autoRedefine/>
    <w:qFormat/>
    <w:uiPriority w:val="9"/>
    <w:rPr>
      <w:rFonts w:ascii="Arial" w:hAnsi="Arial" w:eastAsia="Arial" w:cs="Arial"/>
      <w:sz w:val="30"/>
      <w:szCs w:val="30"/>
    </w:rPr>
  </w:style>
  <w:style w:type="character" w:customStyle="1" w:styleId="50">
    <w:name w:val="标题 4 字符"/>
    <w:basedOn w:val="42"/>
    <w:link w:val="7"/>
    <w:autoRedefine/>
    <w:qFormat/>
    <w:uiPriority w:val="9"/>
    <w:rPr>
      <w:rFonts w:ascii="Arial" w:hAnsi="Arial" w:eastAsia="Arial" w:cs="Arial"/>
      <w:b/>
      <w:bCs/>
      <w:sz w:val="26"/>
      <w:szCs w:val="26"/>
    </w:rPr>
  </w:style>
  <w:style w:type="character" w:customStyle="1" w:styleId="51">
    <w:name w:val="标题 5 字符"/>
    <w:basedOn w:val="42"/>
    <w:link w:val="8"/>
    <w:autoRedefine/>
    <w:qFormat/>
    <w:uiPriority w:val="9"/>
    <w:rPr>
      <w:rFonts w:ascii="Arial" w:hAnsi="Arial" w:eastAsia="Arial" w:cs="Arial"/>
      <w:b/>
      <w:bCs/>
      <w:sz w:val="24"/>
      <w:szCs w:val="24"/>
    </w:rPr>
  </w:style>
  <w:style w:type="character" w:customStyle="1" w:styleId="52">
    <w:name w:val="标题 6 字符"/>
    <w:basedOn w:val="42"/>
    <w:link w:val="9"/>
    <w:autoRedefine/>
    <w:qFormat/>
    <w:uiPriority w:val="9"/>
    <w:rPr>
      <w:rFonts w:ascii="Arial" w:hAnsi="Arial" w:eastAsia="Arial" w:cs="Arial"/>
      <w:b/>
      <w:bCs/>
      <w:sz w:val="22"/>
      <w:szCs w:val="22"/>
    </w:rPr>
  </w:style>
  <w:style w:type="character" w:customStyle="1" w:styleId="53">
    <w:name w:val="标题 7 字符"/>
    <w:basedOn w:val="42"/>
    <w:link w:val="10"/>
    <w:autoRedefine/>
    <w:qFormat/>
    <w:uiPriority w:val="9"/>
    <w:rPr>
      <w:rFonts w:ascii="Arial" w:hAnsi="Arial" w:eastAsia="Arial" w:cs="Arial"/>
      <w:b/>
      <w:bCs/>
      <w:i/>
      <w:iCs/>
      <w:sz w:val="22"/>
      <w:szCs w:val="22"/>
    </w:rPr>
  </w:style>
  <w:style w:type="character" w:customStyle="1" w:styleId="54">
    <w:name w:val="标题 8 字符"/>
    <w:basedOn w:val="42"/>
    <w:link w:val="11"/>
    <w:autoRedefine/>
    <w:qFormat/>
    <w:uiPriority w:val="9"/>
    <w:rPr>
      <w:rFonts w:ascii="Arial" w:hAnsi="Arial" w:eastAsia="Arial" w:cs="Arial"/>
      <w:i/>
      <w:iCs/>
      <w:sz w:val="22"/>
      <w:szCs w:val="22"/>
    </w:rPr>
  </w:style>
  <w:style w:type="character" w:customStyle="1" w:styleId="55">
    <w:name w:val="标题 9 字符"/>
    <w:basedOn w:val="42"/>
    <w:link w:val="12"/>
    <w:autoRedefine/>
    <w:qFormat/>
    <w:uiPriority w:val="9"/>
    <w:rPr>
      <w:rFonts w:ascii="Arial" w:hAnsi="Arial" w:eastAsia="Arial" w:cs="Arial"/>
      <w:i/>
      <w:iCs/>
      <w:sz w:val="21"/>
      <w:szCs w:val="21"/>
    </w:rPr>
  </w:style>
  <w:style w:type="paragraph" w:styleId="56">
    <w:name w:val="No Spacing"/>
    <w:autoRedefine/>
    <w:qFormat/>
    <w:uiPriority w:val="1"/>
    <w:rPr>
      <w:rFonts w:ascii="Times New Roman" w:hAnsi="Times New Roman" w:eastAsia="宋体" w:cs="Times New Roman"/>
      <w:lang w:val="en-US" w:eastAsia="zh-CN" w:bidi="ar-SA"/>
    </w:rPr>
  </w:style>
  <w:style w:type="character" w:customStyle="1" w:styleId="57">
    <w:name w:val="Title Char"/>
    <w:basedOn w:val="42"/>
    <w:autoRedefine/>
    <w:qFormat/>
    <w:uiPriority w:val="10"/>
    <w:rPr>
      <w:sz w:val="48"/>
      <w:szCs w:val="48"/>
    </w:rPr>
  </w:style>
  <w:style w:type="character" w:customStyle="1" w:styleId="58">
    <w:name w:val="副标题 字符"/>
    <w:basedOn w:val="42"/>
    <w:link w:val="30"/>
    <w:autoRedefine/>
    <w:qFormat/>
    <w:uiPriority w:val="11"/>
    <w:rPr>
      <w:sz w:val="24"/>
      <w:szCs w:val="24"/>
    </w:rPr>
  </w:style>
  <w:style w:type="paragraph" w:styleId="59">
    <w:name w:val="Quote"/>
    <w:basedOn w:val="1"/>
    <w:next w:val="1"/>
    <w:link w:val="60"/>
    <w:autoRedefine/>
    <w:qFormat/>
    <w:uiPriority w:val="29"/>
    <w:pPr>
      <w:ind w:left="720" w:right="720"/>
    </w:pPr>
    <w:rPr>
      <w:i/>
    </w:rPr>
  </w:style>
  <w:style w:type="character" w:customStyle="1" w:styleId="60">
    <w:name w:val="引用 字符"/>
    <w:link w:val="59"/>
    <w:autoRedefine/>
    <w:qFormat/>
    <w:uiPriority w:val="29"/>
    <w:rPr>
      <w:i/>
    </w:rPr>
  </w:style>
  <w:style w:type="paragraph" w:styleId="61">
    <w:name w:val="Intense Quote"/>
    <w:basedOn w:val="1"/>
    <w:next w:val="1"/>
    <w:link w:val="62"/>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2">
    <w:name w:val="明显引用 字符"/>
    <w:link w:val="61"/>
    <w:autoRedefine/>
    <w:qFormat/>
    <w:uiPriority w:val="30"/>
    <w:rPr>
      <w:i/>
    </w:rPr>
  </w:style>
  <w:style w:type="character" w:customStyle="1" w:styleId="63">
    <w:name w:val="Header Char"/>
    <w:basedOn w:val="42"/>
    <w:autoRedefine/>
    <w:qFormat/>
    <w:uiPriority w:val="99"/>
  </w:style>
  <w:style w:type="character" w:customStyle="1" w:styleId="64">
    <w:name w:val="Footer Char"/>
    <w:basedOn w:val="42"/>
    <w:autoRedefine/>
    <w:qFormat/>
    <w:uiPriority w:val="99"/>
  </w:style>
  <w:style w:type="character" w:customStyle="1" w:styleId="65">
    <w:name w:val="Caption Char"/>
    <w:autoRedefine/>
    <w:qFormat/>
    <w:uiPriority w:val="99"/>
  </w:style>
  <w:style w:type="table" w:customStyle="1" w:styleId="66">
    <w:name w:val="Table Grid Light"/>
    <w:basedOn w:val="40"/>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7">
    <w:name w:val="无格式表格 11"/>
    <w:basedOn w:val="40"/>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8">
    <w:name w:val="无格式表格 21"/>
    <w:basedOn w:val="40"/>
    <w:autoRedefine/>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9">
    <w:name w:val="无格式表格 31"/>
    <w:basedOn w:val="40"/>
    <w:autoRedefine/>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无格式表格 41"/>
    <w:basedOn w:val="40"/>
    <w:autoRedefine/>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无格式表格 51"/>
    <w:basedOn w:val="40"/>
    <w:autoRedefine/>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网格表 1 浅色1"/>
    <w:basedOn w:val="40"/>
    <w:autoRedefine/>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3">
    <w:name w:val="Grid Table 1 Light - Accent 1"/>
    <w:basedOn w:val="40"/>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74">
    <w:name w:val="Grid Table 1 Light - Accent 2"/>
    <w:basedOn w:val="40"/>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75">
    <w:name w:val="Grid Table 1 Light - Accent 3"/>
    <w:basedOn w:val="40"/>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6">
    <w:name w:val="Grid Table 1 Light - Accent 4"/>
    <w:basedOn w:val="40"/>
    <w:autoRedefine/>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7">
    <w:name w:val="Grid Table 1 Light - Accent 5"/>
    <w:basedOn w:val="40"/>
    <w:autoRedefine/>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8">
    <w:name w:val="Grid Table 1 Light - Accent 6"/>
    <w:basedOn w:val="40"/>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9">
    <w:name w:val="网格表 21"/>
    <w:basedOn w:val="40"/>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2 - Accent 1"/>
    <w:basedOn w:val="40"/>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1">
    <w:name w:val="Grid Table 2 - Accent 2"/>
    <w:basedOn w:val="40"/>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2">
    <w:name w:val="Grid Table 2 - Accent 3"/>
    <w:basedOn w:val="40"/>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3">
    <w:name w:val="Grid Table 2 - Accent 4"/>
    <w:basedOn w:val="40"/>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4">
    <w:name w:val="Grid Table 2 - Accent 5"/>
    <w:basedOn w:val="40"/>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5">
    <w:name w:val="Grid Table 2 - Accent 6"/>
    <w:basedOn w:val="40"/>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6">
    <w:name w:val="网格表 31"/>
    <w:basedOn w:val="40"/>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3 - Accent 1"/>
    <w:basedOn w:val="40"/>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8">
    <w:name w:val="Grid Table 3 - Accent 2"/>
    <w:basedOn w:val="40"/>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9">
    <w:name w:val="Grid Table 3 - Accent 3"/>
    <w:basedOn w:val="40"/>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0">
    <w:name w:val="Grid Table 3 - Accent 4"/>
    <w:basedOn w:val="40"/>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1">
    <w:name w:val="Grid Table 3 - Accent 5"/>
    <w:basedOn w:val="40"/>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2">
    <w:name w:val="Grid Table 3 - Accent 6"/>
    <w:basedOn w:val="40"/>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3">
    <w:name w:val="网格表 41"/>
    <w:basedOn w:val="40"/>
    <w:autoRedefine/>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4 - Accent 1"/>
    <w:basedOn w:val="40"/>
    <w:autoRedefine/>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95">
    <w:name w:val="Grid Table 4 - Accent 2"/>
    <w:basedOn w:val="40"/>
    <w:autoRedefine/>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6">
    <w:name w:val="Grid Table 4 - Accent 3"/>
    <w:basedOn w:val="40"/>
    <w:autoRedefine/>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7">
    <w:name w:val="Grid Table 4 - Accent 4"/>
    <w:basedOn w:val="40"/>
    <w:autoRedefine/>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8">
    <w:name w:val="Grid Table 4 - Accent 5"/>
    <w:basedOn w:val="40"/>
    <w:autoRedefine/>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9">
    <w:name w:val="Grid Table 4 - Accent 6"/>
    <w:basedOn w:val="40"/>
    <w:autoRedefine/>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0">
    <w:name w:val="网格表 5 深色1"/>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1">
    <w:name w:val="Grid Table 5 Dark- Accent 1"/>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02">
    <w:name w:val="Grid Table 5 Dark - Accent 2"/>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03">
    <w:name w:val="Grid Table 5 Dark - Accent 3"/>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04">
    <w:name w:val="Grid Table 5 Dark- Accent 4"/>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05">
    <w:name w:val="Grid Table 5 Dark - Accent 5"/>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06">
    <w:name w:val="Grid Table 5 Dark - Accent 6"/>
    <w:basedOn w:val="40"/>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7">
    <w:name w:val="网格表 6 彩色1"/>
    <w:basedOn w:val="40"/>
    <w:autoRedefine/>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6 Colorful - Accent 1"/>
    <w:basedOn w:val="40"/>
    <w:autoRedefine/>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9">
    <w:name w:val="Grid Table 6 Colorful - Accent 2"/>
    <w:basedOn w:val="40"/>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0">
    <w:name w:val="Grid Table 6 Colorful - Accent 3"/>
    <w:basedOn w:val="40"/>
    <w:autoRedefine/>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11">
    <w:name w:val="Grid Table 6 Colorful - Accent 4"/>
    <w:basedOn w:val="40"/>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2">
    <w:name w:val="Grid Table 6 Colorful - Accent 5"/>
    <w:basedOn w:val="40"/>
    <w:autoRedefine/>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3">
    <w:name w:val="Grid Table 6 Colorful - Accent 6"/>
    <w:basedOn w:val="40"/>
    <w:autoRedefine/>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14">
    <w:name w:val="网格表 7 彩色1"/>
    <w:basedOn w:val="40"/>
    <w:autoRedefine/>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5">
    <w:name w:val="Grid Table 7 Colorful - Accent 1"/>
    <w:basedOn w:val="40"/>
    <w:autoRedefine/>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6">
    <w:name w:val="Grid Table 7 Colorful - Accent 2"/>
    <w:basedOn w:val="40"/>
    <w:autoRedefine/>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7">
    <w:name w:val="Grid Table 7 Colorful - Accent 3"/>
    <w:basedOn w:val="40"/>
    <w:autoRedefine/>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18">
    <w:name w:val="Grid Table 7 Colorful - Accent 4"/>
    <w:basedOn w:val="40"/>
    <w:autoRedefine/>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9">
    <w:name w:val="Grid Table 7 Colorful - Accent 5"/>
    <w:basedOn w:val="40"/>
    <w:autoRedefine/>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0">
    <w:name w:val="Grid Table 7 Colorful - Accent 6"/>
    <w:basedOn w:val="40"/>
    <w:autoRedefine/>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21">
    <w:name w:val="清单表 1 浅色1"/>
    <w:basedOn w:val="40"/>
    <w:autoRedefine/>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2">
    <w:name w:val="List Table 1 Light - Accent 1"/>
    <w:basedOn w:val="40"/>
    <w:autoRedefine/>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23">
    <w:name w:val="List Table 1 Light - Accent 2"/>
    <w:basedOn w:val="40"/>
    <w:autoRedefine/>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24">
    <w:name w:val="List Table 1 Light - Accent 3"/>
    <w:basedOn w:val="40"/>
    <w:autoRedefine/>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25">
    <w:name w:val="List Table 1 Light - Accent 4"/>
    <w:basedOn w:val="40"/>
    <w:autoRedefine/>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6">
    <w:name w:val="List Table 1 Light - Accent 5"/>
    <w:basedOn w:val="40"/>
    <w:autoRedefine/>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7">
    <w:name w:val="List Table 1 Light - Accent 6"/>
    <w:basedOn w:val="40"/>
    <w:autoRedefine/>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8">
    <w:name w:val="清单表 21"/>
    <w:basedOn w:val="40"/>
    <w:autoRedefine/>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9">
    <w:name w:val="List Table 2 - Accent 1"/>
    <w:basedOn w:val="40"/>
    <w:autoRedefine/>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0">
    <w:name w:val="List Table 2 - Accent 2"/>
    <w:basedOn w:val="40"/>
    <w:autoRedefine/>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1">
    <w:name w:val="List Table 2 - Accent 3"/>
    <w:basedOn w:val="40"/>
    <w:autoRedefine/>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2">
    <w:name w:val="List Table 2 - Accent 4"/>
    <w:basedOn w:val="40"/>
    <w:autoRedefine/>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3">
    <w:name w:val="List Table 2 - Accent 5"/>
    <w:basedOn w:val="40"/>
    <w:autoRedefine/>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4">
    <w:name w:val="List Table 2 - Accent 6"/>
    <w:basedOn w:val="40"/>
    <w:autoRedefine/>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5">
    <w:name w:val="清单表 31"/>
    <w:basedOn w:val="40"/>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6">
    <w:name w:val="List Table 3 - Accent 1"/>
    <w:basedOn w:val="40"/>
    <w:autoRedefine/>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7">
    <w:name w:val="List Table 3 - Accent 2"/>
    <w:basedOn w:val="40"/>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8">
    <w:name w:val="List Table 3 - Accent 3"/>
    <w:basedOn w:val="40"/>
    <w:autoRedefine/>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9">
    <w:name w:val="List Table 3 - Accent 4"/>
    <w:basedOn w:val="40"/>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0">
    <w:name w:val="List Table 3 - Accent 5"/>
    <w:basedOn w:val="40"/>
    <w:autoRedefine/>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41">
    <w:name w:val="List Table 3 - Accent 6"/>
    <w:basedOn w:val="40"/>
    <w:autoRedefine/>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42">
    <w:name w:val="清单表 41"/>
    <w:basedOn w:val="40"/>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3">
    <w:name w:val="List Table 4 - Accent 1"/>
    <w:basedOn w:val="40"/>
    <w:autoRedefine/>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4">
    <w:name w:val="List Table 4 - Accent 2"/>
    <w:basedOn w:val="40"/>
    <w:autoRedefine/>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5">
    <w:name w:val="List Table 4 - Accent 3"/>
    <w:basedOn w:val="40"/>
    <w:autoRedefine/>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6">
    <w:name w:val="List Table 4 - Accent 4"/>
    <w:basedOn w:val="40"/>
    <w:autoRedefine/>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7">
    <w:name w:val="List Table 4 - Accent 5"/>
    <w:basedOn w:val="40"/>
    <w:autoRedefine/>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8">
    <w:name w:val="List Table 4 - Accent 6"/>
    <w:basedOn w:val="40"/>
    <w:autoRedefine/>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9">
    <w:name w:val="清单表 5 深色1"/>
    <w:basedOn w:val="40"/>
    <w:autoRedefine/>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0">
    <w:name w:val="List Table 5 Dark - Accent 1"/>
    <w:basedOn w:val="40"/>
    <w:autoRedefine/>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51">
    <w:name w:val="List Table 5 Dark - Accent 2"/>
    <w:basedOn w:val="40"/>
    <w:autoRedefine/>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52">
    <w:name w:val="List Table 5 Dark - Accent 3"/>
    <w:basedOn w:val="40"/>
    <w:autoRedefine/>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53">
    <w:name w:val="List Table 5 Dark - Accent 4"/>
    <w:basedOn w:val="40"/>
    <w:autoRedefine/>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54">
    <w:name w:val="List Table 5 Dark - Accent 5"/>
    <w:basedOn w:val="40"/>
    <w:autoRedefine/>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55">
    <w:name w:val="List Table 5 Dark - Accent 6"/>
    <w:basedOn w:val="40"/>
    <w:autoRedefine/>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6">
    <w:name w:val="清单表 6 彩色1"/>
    <w:basedOn w:val="40"/>
    <w:autoRedefine/>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7">
    <w:name w:val="List Table 6 Colorful - Accent 1"/>
    <w:basedOn w:val="40"/>
    <w:autoRedefine/>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8">
    <w:name w:val="List Table 6 Colorful - Accent 2"/>
    <w:basedOn w:val="40"/>
    <w:autoRedefine/>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9">
    <w:name w:val="List Table 6 Colorful - Accent 3"/>
    <w:basedOn w:val="40"/>
    <w:autoRedefine/>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0">
    <w:name w:val="List Table 6 Colorful - Accent 4"/>
    <w:basedOn w:val="40"/>
    <w:autoRedefine/>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1">
    <w:name w:val="List Table 6 Colorful - Accent 5"/>
    <w:basedOn w:val="40"/>
    <w:autoRedefine/>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2">
    <w:name w:val="List Table 6 Colorful - Accent 6"/>
    <w:basedOn w:val="40"/>
    <w:autoRedefine/>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3">
    <w:name w:val="清单表 7 彩色1"/>
    <w:basedOn w:val="40"/>
    <w:autoRedefine/>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4">
    <w:name w:val="List Table 7 Colorful - Accent 1"/>
    <w:basedOn w:val="40"/>
    <w:autoRedefine/>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5">
    <w:name w:val="List Table 7 Colorful - Accent 2"/>
    <w:basedOn w:val="40"/>
    <w:autoRedefine/>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6">
    <w:name w:val="List Table 7 Colorful - Accent 3"/>
    <w:basedOn w:val="40"/>
    <w:autoRedefine/>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7">
    <w:name w:val="List Table 7 Colorful - Accent 4"/>
    <w:basedOn w:val="40"/>
    <w:autoRedefine/>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8">
    <w:name w:val="List Table 7 Colorful - Accent 5"/>
    <w:basedOn w:val="40"/>
    <w:autoRedefine/>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9">
    <w:name w:val="List Table 7 Colorful - Accent 6"/>
    <w:basedOn w:val="40"/>
    <w:autoRedefine/>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0">
    <w:name w:val="Lined - Accent"/>
    <w:basedOn w:val="40"/>
    <w:autoRedefine/>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Lined - Accent 1"/>
    <w:basedOn w:val="40"/>
    <w:autoRedefine/>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2">
    <w:name w:val="Lined - Accent 2"/>
    <w:basedOn w:val="40"/>
    <w:autoRedefine/>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3">
    <w:name w:val="Lined - Accent 3"/>
    <w:basedOn w:val="40"/>
    <w:autoRedefine/>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4">
    <w:name w:val="Lined - Accent 4"/>
    <w:basedOn w:val="40"/>
    <w:autoRedefine/>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5">
    <w:name w:val="Lined - Accent 5"/>
    <w:basedOn w:val="40"/>
    <w:autoRedefine/>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6">
    <w:name w:val="Lined - Accent 6"/>
    <w:basedOn w:val="40"/>
    <w:autoRedefine/>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7">
    <w:name w:val="Bordered &amp; Lined - Accent"/>
    <w:basedOn w:val="40"/>
    <w:autoRedefine/>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8">
    <w:name w:val="Bordered &amp; Lined - Accent 1"/>
    <w:basedOn w:val="40"/>
    <w:autoRedefine/>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9">
    <w:name w:val="Bordered &amp; Lined - Accent 2"/>
    <w:basedOn w:val="40"/>
    <w:autoRedefine/>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0">
    <w:name w:val="Bordered &amp; Lined - Accent 3"/>
    <w:basedOn w:val="40"/>
    <w:autoRedefine/>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1">
    <w:name w:val="Bordered &amp; Lined - Accent 4"/>
    <w:basedOn w:val="40"/>
    <w:autoRedefine/>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2">
    <w:name w:val="Bordered &amp; Lined - Accent 5"/>
    <w:basedOn w:val="40"/>
    <w:autoRedefine/>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3">
    <w:name w:val="Bordered &amp; Lined - Accent 6"/>
    <w:basedOn w:val="40"/>
    <w:autoRedefine/>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4">
    <w:name w:val="Bordered"/>
    <w:basedOn w:val="40"/>
    <w:autoRedefine/>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5">
    <w:name w:val="Bordered - Accent 1"/>
    <w:basedOn w:val="40"/>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86">
    <w:name w:val="Bordered - Accent 2"/>
    <w:basedOn w:val="40"/>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7">
    <w:name w:val="Bordered - Accent 3"/>
    <w:basedOn w:val="40"/>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8">
    <w:name w:val="Bordered - Accent 4"/>
    <w:basedOn w:val="40"/>
    <w:autoRedefine/>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9">
    <w:name w:val="Bordered - Accent 5"/>
    <w:basedOn w:val="40"/>
    <w:autoRedefine/>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0">
    <w:name w:val="Bordered - Accent 6"/>
    <w:basedOn w:val="40"/>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1">
    <w:name w:val="脚注文本 字符"/>
    <w:link w:val="31"/>
    <w:autoRedefine/>
    <w:qFormat/>
    <w:uiPriority w:val="99"/>
    <w:rPr>
      <w:sz w:val="18"/>
    </w:rPr>
  </w:style>
  <w:style w:type="character" w:customStyle="1" w:styleId="192">
    <w:name w:val="尾注文本 字符"/>
    <w:link w:val="25"/>
    <w:autoRedefine/>
    <w:qFormat/>
    <w:uiPriority w:val="99"/>
    <w:rPr>
      <w:sz w:val="20"/>
    </w:rPr>
  </w:style>
  <w:style w:type="paragraph" w:customStyle="1" w:styleId="193">
    <w:name w:val="TOC 标题1"/>
    <w:autoRedefine/>
    <w:unhideWhenUsed/>
    <w:qFormat/>
    <w:uiPriority w:val="39"/>
    <w:rPr>
      <w:rFonts w:ascii="Times New Roman" w:hAnsi="Times New Roman" w:eastAsia="宋体" w:cs="Times New Roman"/>
      <w:lang w:val="en-US" w:eastAsia="zh-CN" w:bidi="ar-SA"/>
    </w:rPr>
  </w:style>
  <w:style w:type="paragraph" w:customStyle="1" w:styleId="194">
    <w:name w:val="Fließtext"/>
    <w:basedOn w:val="1"/>
    <w:autoRedefine/>
    <w:qFormat/>
    <w:uiPriority w:val="0"/>
    <w:rPr>
      <w:szCs w:val="20"/>
    </w:rPr>
  </w:style>
  <w:style w:type="paragraph" w:customStyle="1" w:styleId="195">
    <w:name w:val="UserStyle_0"/>
    <w:basedOn w:val="196"/>
    <w:next w:val="1"/>
    <w:autoRedefine/>
    <w:qFormat/>
    <w:uiPriority w:val="0"/>
    <w:pPr>
      <w:widowControl/>
      <w:tabs>
        <w:tab w:val="right" w:leader="dot" w:pos="8400"/>
      </w:tabs>
      <w:ind w:firstLine="420"/>
      <w:jc w:val="center"/>
    </w:pPr>
    <w:rPr>
      <w:rFonts w:ascii="宋体"/>
      <w:iCs/>
      <w:szCs w:val="21"/>
    </w:rPr>
  </w:style>
  <w:style w:type="paragraph" w:customStyle="1" w:styleId="196">
    <w:name w:val="TOC 11"/>
    <w:basedOn w:val="1"/>
    <w:next w:val="1"/>
    <w:autoRedefine/>
    <w:qFormat/>
    <w:uiPriority w:val="0"/>
    <w:pPr>
      <w:tabs>
        <w:tab w:val="right" w:leader="dot" w:pos="8400"/>
      </w:tabs>
      <w:spacing w:line="360" w:lineRule="auto"/>
    </w:pPr>
    <w:rPr>
      <w:rFonts w:hAnsi="宋体"/>
      <w:b/>
      <w:sz w:val="24"/>
      <w:szCs w:val="24"/>
    </w:rPr>
  </w:style>
  <w:style w:type="paragraph" w:styleId="197">
    <w:name w:val="List Paragraph"/>
    <w:basedOn w:val="1"/>
    <w:autoRedefine/>
    <w:qFormat/>
    <w:uiPriority w:val="99"/>
    <w:pPr>
      <w:ind w:firstLine="420"/>
    </w:pPr>
  </w:style>
  <w:style w:type="paragraph" w:customStyle="1" w:styleId="198">
    <w:name w:val="正文 New"/>
    <w:autoRedefine/>
    <w:qFormat/>
    <w:uiPriority w:val="99"/>
    <w:pPr>
      <w:widowControl w:val="0"/>
      <w:jc w:val="both"/>
    </w:pPr>
    <w:rPr>
      <w:rFonts w:ascii="Times New Roman" w:hAnsi="Times New Roman" w:eastAsia="宋体" w:cs="Times New Roman"/>
      <w:sz w:val="21"/>
      <w:szCs w:val="24"/>
      <w:lang w:val="en-US" w:eastAsia="zh-CN" w:bidi="ar-SA"/>
    </w:rPr>
  </w:style>
  <w:style w:type="character" w:customStyle="1" w:styleId="199">
    <w:name w:val="10"/>
    <w:basedOn w:val="42"/>
    <w:autoRedefine/>
    <w:qFormat/>
    <w:uiPriority w:val="0"/>
    <w:rPr>
      <w:rFonts w:hint="default" w:ascii="Times New Roman" w:hAnsi="Times New Roman" w:cs="Times New Roman"/>
    </w:rPr>
  </w:style>
  <w:style w:type="character" w:customStyle="1" w:styleId="200">
    <w:name w:val="15"/>
    <w:basedOn w:val="42"/>
    <w:autoRedefine/>
    <w:qFormat/>
    <w:uiPriority w:val="0"/>
    <w:rPr>
      <w:rFonts w:hint="default" w:ascii="Times New Roman" w:hAnsi="Times New Roman" w:cs="Times New Roman"/>
    </w:rPr>
  </w:style>
  <w:style w:type="paragraph" w:customStyle="1" w:styleId="201">
    <w:name w:val="WPSOffice手动目录 1"/>
    <w:autoRedefine/>
    <w:qFormat/>
    <w:uiPriority w:val="0"/>
    <w:rPr>
      <w:rFonts w:ascii="Times New Roman" w:hAnsi="Times New Roman" w:eastAsia="宋体" w:cs="Times New Roman"/>
      <w:lang w:val="en-US" w:eastAsia="zh-CN" w:bidi="ar-SA"/>
    </w:rPr>
  </w:style>
  <w:style w:type="paragraph" w:customStyle="1" w:styleId="202">
    <w:name w:val="Char"/>
    <w:basedOn w:val="1"/>
    <w:autoRedefine/>
    <w:qFormat/>
    <w:uiPriority w:val="0"/>
    <w:rPr>
      <w:rFonts w:ascii="Arial" w:hAnsi="Arial" w:cs="Arial"/>
      <w:sz w:val="20"/>
      <w:szCs w:val="20"/>
    </w:rPr>
  </w:style>
  <w:style w:type="paragraph" w:customStyle="1" w:styleId="203">
    <w:name w:val="Body text|1"/>
    <w:basedOn w:val="1"/>
    <w:autoRedefine/>
    <w:qFormat/>
    <w:uiPriority w:val="0"/>
    <w:pPr>
      <w:spacing w:line="480" w:lineRule="auto"/>
      <w:ind w:firstLine="400"/>
    </w:pPr>
    <w:rPr>
      <w:rFonts w:ascii="宋体" w:hAnsi="宋体" w:cs="宋体"/>
      <w:sz w:val="26"/>
      <w:szCs w:val="26"/>
      <w:lang w:val="zh-TW" w:eastAsia="zh-TW" w:bidi="zh-TW"/>
    </w:rPr>
  </w:style>
  <w:style w:type="paragraph" w:customStyle="1" w:styleId="204">
    <w:name w:val="Other|1"/>
    <w:basedOn w:val="1"/>
    <w:autoRedefine/>
    <w:qFormat/>
    <w:uiPriority w:val="0"/>
    <w:pPr>
      <w:spacing w:line="480" w:lineRule="auto"/>
      <w:ind w:firstLine="400"/>
    </w:pPr>
    <w:rPr>
      <w:rFonts w:ascii="宋体" w:hAnsi="宋体" w:cs="宋体"/>
      <w:sz w:val="26"/>
      <w:szCs w:val="26"/>
      <w:lang w:val="zh-TW" w:eastAsia="zh-TW" w:bidi="zh-TW"/>
    </w:rPr>
  </w:style>
  <w:style w:type="paragraph" w:customStyle="1" w:styleId="205">
    <w:name w:val="Table caption|1"/>
    <w:basedOn w:val="1"/>
    <w:autoRedefine/>
    <w:qFormat/>
    <w:uiPriority w:val="0"/>
    <w:rPr>
      <w:rFonts w:ascii="宋体" w:hAnsi="宋体" w:cs="宋体"/>
      <w:sz w:val="19"/>
      <w:szCs w:val="19"/>
      <w:lang w:val="zh-TW" w:eastAsia="zh-TW" w:bidi="zh-TW"/>
    </w:rPr>
  </w:style>
  <w:style w:type="paragraph" w:customStyle="1" w:styleId="206">
    <w:name w:val="正文1"/>
    <w:basedOn w:val="28"/>
    <w:next w:val="1"/>
    <w:autoRedefine/>
    <w:qFormat/>
    <w:uiPriority w:val="0"/>
    <w:pPr>
      <w:tabs>
        <w:tab w:val="right" w:leader="dot" w:pos="8400"/>
      </w:tabs>
      <w:spacing w:line="360" w:lineRule="auto"/>
      <w:ind w:firstLine="480"/>
    </w:pPr>
    <w:rPr>
      <w:rFonts w:ascii="宋体" w:hAnsi="宋体"/>
      <w:sz w:val="24"/>
      <w:szCs w:val="24"/>
    </w:rPr>
  </w:style>
  <w:style w:type="paragraph" w:customStyle="1" w:styleId="207">
    <w:name w:val="List Paragraph1"/>
    <w:basedOn w:val="1"/>
    <w:autoRedefine/>
    <w:qFormat/>
    <w:uiPriority w:val="99"/>
    <w:pPr>
      <w:ind w:firstLine="420"/>
    </w:pPr>
  </w:style>
  <w:style w:type="paragraph" w:customStyle="1" w:styleId="208">
    <w:name w:val="Char1"/>
    <w:basedOn w:val="1"/>
    <w:autoRedefine/>
    <w:qFormat/>
    <w:uiPriority w:val="0"/>
    <w:rPr>
      <w:rFonts w:ascii="Tahoma" w:hAnsi="Tahoma"/>
      <w:sz w:val="24"/>
      <w:szCs w:val="20"/>
    </w:rPr>
  </w:style>
  <w:style w:type="character" w:customStyle="1" w:styleId="209">
    <w:name w:val="标题 2 字符"/>
    <w:basedOn w:val="42"/>
    <w:link w:val="5"/>
    <w:autoRedefine/>
    <w:qFormat/>
    <w:uiPriority w:val="0"/>
    <w:rPr>
      <w:rFonts w:ascii="Calibri Light" w:hAnsi="Calibri Light"/>
      <w:b/>
      <w:bCs/>
      <w:sz w:val="24"/>
      <w:szCs w:val="32"/>
    </w:rPr>
  </w:style>
  <w:style w:type="character" w:customStyle="1" w:styleId="210">
    <w:name w:val="正文文本 字符"/>
    <w:basedOn w:val="42"/>
    <w:link w:val="2"/>
    <w:autoRedefine/>
    <w:qFormat/>
    <w:uiPriority w:val="0"/>
    <w:rPr>
      <w:sz w:val="21"/>
      <w:szCs w:val="22"/>
    </w:rPr>
  </w:style>
  <w:style w:type="character" w:customStyle="1" w:styleId="211">
    <w:name w:val="fontstyle01"/>
    <w:basedOn w:val="42"/>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4112</Words>
  <Characters>4294</Characters>
  <Lines>1</Lines>
  <Paragraphs>1</Paragraphs>
  <TotalTime>0</TotalTime>
  <ScaleCrop>false</ScaleCrop>
  <LinksUpToDate>false</LinksUpToDate>
  <CharactersWithSpaces>4332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2023-12-16T02:58:00Z</dcterms:created>
  <dc:creator>卢爱金</dc:creator>
  <cp:lastModifiedBy>董泽华</cp:lastModifiedBy>
  <cp:lastPrinted>2024-12-18T08:17:00Z</cp:lastPrinted>
  <dcterms:modified xsi:type="dcterms:W3CDTF">2025-04-03T09:20:37Z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EADA8094B9E94B3893F18D76BE3A743C_13</vt:lpwstr>
  </property>
  <property fmtid="{D5CDD505-2E9C-101B-9397-08002B2CF9AE}" pid="4" name="KSOTemplateDocerSaveRecord">
    <vt:lpwstr>eyJoZGlkIjoiZTZmMDFmNzZiZDBkYWVhODM4ZWI4MzljNjI0NjliZWYiLCJ1c2VySWQiOiIyMjc5Mzk5MjYifQ==</vt:lpwstr>
  </property>
</Properties>
</file>