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28C933">
      <w:pPr>
        <w:numPr>
          <w:ilvl w:val="0"/>
          <w:numId w:val="0"/>
        </w:numPr>
        <w:jc w:val="center"/>
        <w:rPr>
          <w:rFonts w:hint="eastAsia" w:ascii="仿宋" w:hAnsi="仿宋" w:eastAsia="仿宋" w:cs="仿宋"/>
          <w:b/>
          <w:bCs/>
          <w:sz w:val="36"/>
          <w:szCs w:val="44"/>
          <w:lang w:val="en-US" w:eastAsia="zh-CN"/>
        </w:rPr>
      </w:pPr>
      <w:r>
        <w:rPr>
          <w:rFonts w:hint="eastAsia" w:ascii="仿宋" w:hAnsi="仿宋" w:eastAsia="仿宋" w:cs="仿宋"/>
          <w:b/>
          <w:bCs/>
          <w:sz w:val="36"/>
          <w:szCs w:val="44"/>
          <w:lang w:val="en-US" w:eastAsia="zh-CN"/>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ascii="仿宋" w:hAnsi="仿宋" w:eastAsia="仿宋" w:cs="仿宋"/>
          <w:b/>
          <w:bCs/>
          <w:sz w:val="36"/>
          <w:szCs w:val="44"/>
          <w:lang w:val="en-US" w:eastAsia="zh-CN"/>
        </w:rPr>
        <w:instrText xml:space="preserve">ADDIN CNKISM.UserStyle</w:instrText>
      </w:r>
      <w:r>
        <w:rPr>
          <w:rFonts w:hint="eastAsia" w:ascii="仿宋" w:hAnsi="仿宋" w:eastAsia="仿宋" w:cs="仿宋"/>
          <w:b/>
          <w:bCs/>
          <w:sz w:val="36"/>
          <w:szCs w:val="44"/>
          <w:lang w:val="en-US" w:eastAsia="zh-CN"/>
        </w:rPr>
        <w:fldChar w:fldCharType="separate"/>
      </w:r>
      <w:r>
        <w:rPr>
          <w:rFonts w:hint="eastAsia" w:ascii="仿宋" w:hAnsi="仿宋" w:eastAsia="仿宋" w:cs="仿宋"/>
          <w:b/>
          <w:bCs/>
          <w:sz w:val="36"/>
          <w:szCs w:val="44"/>
          <w:lang w:val="en-US" w:eastAsia="zh-CN"/>
        </w:rPr>
        <w:fldChar w:fldCharType="end"/>
      </w:r>
      <w:r>
        <w:rPr>
          <w:rFonts w:hint="eastAsia" w:ascii="仿宋" w:hAnsi="仿宋" w:eastAsia="仿宋" w:cs="仿宋"/>
          <w:b/>
          <w:bCs/>
          <w:sz w:val="36"/>
          <w:szCs w:val="44"/>
          <w:lang w:val="en-US" w:eastAsia="zh-CN"/>
        </w:rPr>
        <w:t>基建处窗口服务事项清单和流程</w:t>
      </w:r>
    </w:p>
    <w:p w14:paraId="65F7D2BF">
      <w:pPr>
        <w:keepNext w:val="0"/>
        <w:keepLines w:val="0"/>
        <w:pageBreakBefore w:val="0"/>
        <w:widowControl w:val="0"/>
        <w:numPr>
          <w:ilvl w:val="0"/>
          <w:numId w:val="1"/>
        </w:numPr>
        <w:kinsoku/>
        <w:wordWrap/>
        <w:overflowPunct/>
        <w:topLinePunct w:val="0"/>
        <w:autoSpaceDE/>
        <w:autoSpaceDN/>
        <w:bidi w:val="0"/>
        <w:adjustRightInd/>
        <w:snapToGrid/>
        <w:spacing w:before="157" w:beforeLines="50"/>
        <w:ind w:left="0" w:leftChars="0" w:firstLine="0" w:firstLineChars="0"/>
        <w:jc w:val="both"/>
        <w:textAlignment w:val="auto"/>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项目立项</w:t>
      </w:r>
    </w:p>
    <w:p w14:paraId="45C13375">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基建工程项目，是指基建工程本身，以及与工程建设有关的货物、服务。</w:t>
      </w:r>
    </w:p>
    <w:p w14:paraId="5777F05B">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根据学校事业发展总体规划、校园建设总体规划、专项发展规划，各部门（学院）结合自身的发展规划和满足教学科研、实验实训、管理服务等工作需要，及时提出下一年度校园基建工程项目申请，并在</w:t>
      </w:r>
      <w:r>
        <w:rPr>
          <w:rFonts w:hint="eastAsia" w:ascii="仿宋" w:hAnsi="仿宋" w:eastAsia="仿宋" w:cs="仿宋"/>
          <w:b/>
          <w:bCs/>
          <w:color w:val="FF0000"/>
          <w:sz w:val="28"/>
          <w:szCs w:val="36"/>
          <w:lang w:val="en-US" w:eastAsia="zh-CN"/>
        </w:rPr>
        <w:t>本年度6月30日前</w:t>
      </w:r>
      <w:r>
        <w:rPr>
          <w:rFonts w:hint="eastAsia" w:ascii="仿宋" w:hAnsi="仿宋" w:eastAsia="仿宋" w:cs="仿宋"/>
          <w:sz w:val="28"/>
          <w:szCs w:val="36"/>
          <w:lang w:val="en-US" w:eastAsia="zh-CN"/>
        </w:rPr>
        <w:t>报基建处。</w:t>
      </w:r>
      <w:r>
        <w:rPr>
          <w:rFonts w:hint="eastAsia" w:ascii="仿宋" w:hAnsi="仿宋" w:eastAsia="仿宋" w:cs="仿宋"/>
          <w:b w:val="0"/>
          <w:bCs w:val="0"/>
          <w:sz w:val="28"/>
          <w:szCs w:val="36"/>
          <w:lang w:val="en-US" w:eastAsia="zh-CN"/>
        </w:rPr>
        <w:t>经基建处汇总编制下一年度建设项目计划和项目经费预算，根据不同金额报学校分管领导、校长办公会、党委常委会审批后，送财务处编制年度经费预算后。</w:t>
      </w:r>
      <w:r>
        <w:rPr>
          <w:rFonts w:hint="eastAsia" w:ascii="仿宋" w:hAnsi="仿宋" w:eastAsia="仿宋" w:cs="仿宋"/>
          <w:b/>
          <w:bCs/>
          <w:sz w:val="28"/>
          <w:szCs w:val="36"/>
          <w:lang w:val="en-US" w:eastAsia="zh-CN"/>
        </w:rPr>
        <w:t>对于未纳入学校下一年度预算资金范围内的基建工程项目，视为预算外项目，原则上不予安排实施。</w:t>
      </w:r>
      <w:r>
        <w:rPr>
          <w:rFonts w:hint="eastAsia" w:ascii="仿宋" w:hAnsi="仿宋" w:eastAsia="仿宋" w:cs="仿宋"/>
          <w:sz w:val="28"/>
          <w:szCs w:val="36"/>
          <w:lang w:val="en-US" w:eastAsia="zh-CN"/>
        </w:rPr>
        <w:t>（基建处联系电话：83863722）</w:t>
      </w:r>
    </w:p>
    <w:p w14:paraId="2DFF698A">
      <w:pPr>
        <w:keepNext w:val="0"/>
        <w:keepLines w:val="0"/>
        <w:pageBreakBefore w:val="0"/>
        <w:widowControl w:val="0"/>
        <w:numPr>
          <w:ilvl w:val="0"/>
          <w:numId w:val="2"/>
        </w:numPr>
        <w:kinsoku/>
        <w:wordWrap/>
        <w:overflowPunct/>
        <w:topLinePunct w:val="0"/>
        <w:autoSpaceDE/>
        <w:autoSpaceDN/>
        <w:bidi w:val="0"/>
        <w:adjustRightInd/>
        <w:snapToGrid/>
        <w:ind w:left="0" w:leftChars="0" w:firstLine="420" w:firstLineChars="0"/>
        <w:textAlignment w:val="auto"/>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各部门需提供项目申请报告（</w:t>
      </w:r>
      <w:r>
        <w:rPr>
          <w:rFonts w:hint="eastAsia" w:ascii="仿宋" w:hAnsi="仿宋" w:eastAsia="仿宋" w:cs="仿宋"/>
          <w:b/>
          <w:bCs/>
          <w:color w:val="FF0000"/>
          <w:sz w:val="28"/>
          <w:szCs w:val="36"/>
          <w:lang w:val="en-US" w:eastAsia="zh-CN"/>
        </w:rPr>
        <w:t>6月30日前</w:t>
      </w:r>
      <w:r>
        <w:rPr>
          <w:rFonts w:hint="eastAsia" w:ascii="仿宋" w:hAnsi="仿宋" w:eastAsia="仿宋" w:cs="仿宋"/>
          <w:b/>
          <w:bCs/>
          <w:sz w:val="28"/>
          <w:szCs w:val="36"/>
          <w:lang w:val="en-US" w:eastAsia="zh-CN"/>
        </w:rPr>
        <w:t>）</w:t>
      </w:r>
    </w:p>
    <w:p w14:paraId="73E3DA4C">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36"/>
          <w:lang w:val="en-US" w:eastAsia="zh-CN"/>
        </w:rPr>
      </w:pPr>
      <w:r>
        <w:rPr>
          <w:rFonts w:hint="eastAsia" w:ascii="仿宋" w:hAnsi="仿宋" w:eastAsia="仿宋" w:cs="仿宋"/>
          <w:sz w:val="28"/>
          <w:szCs w:val="36"/>
          <w:lang w:val="en-US" w:eastAsia="zh-CN"/>
        </w:rPr>
        <w:t>1、内容包括：项目建设背景、建设目标需求及必要性、建设地址、建设规模、主要建设内容、技术可行性分析、投资估算、资金来源及资金筹措建议等内容，并附拟建地点的平面位置示意图（其中投资估算除工程费用外，还应包括与工程建设有关的设备、材料等货物费用，以及与工程建设有关的可研报告的编制、工程咨询与评估、勘察、设计、监理、检验与监测、测绘、造价咨询、招标代理等服务费用）。相关格式参见附件1</w:t>
      </w:r>
    </w:p>
    <w:p w14:paraId="15113A22">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36"/>
          <w:lang w:val="en-US" w:eastAsia="zh-CN"/>
        </w:rPr>
      </w:pPr>
      <w:r>
        <w:rPr>
          <w:rFonts w:hint="eastAsia" w:ascii="仿宋" w:hAnsi="仿宋" w:eastAsia="仿宋" w:cs="仿宋"/>
          <w:sz w:val="28"/>
          <w:szCs w:val="36"/>
          <w:lang w:val="en-US" w:eastAsia="zh-CN"/>
        </w:rPr>
        <w:t>2、报告要求：需分管（联系）该申请部门（学院）的校领导签署意见，并加盖该申请部门（学院）的公章。</w:t>
      </w:r>
    </w:p>
    <w:p w14:paraId="719B9EE5">
      <w:pPr>
        <w:keepNext w:val="0"/>
        <w:keepLines w:val="0"/>
        <w:pageBreakBefore w:val="0"/>
        <w:widowControl w:val="0"/>
        <w:numPr>
          <w:ilvl w:val="0"/>
          <w:numId w:val="2"/>
        </w:numPr>
        <w:kinsoku/>
        <w:wordWrap/>
        <w:overflowPunct/>
        <w:topLinePunct w:val="0"/>
        <w:autoSpaceDE/>
        <w:autoSpaceDN/>
        <w:bidi w:val="0"/>
        <w:adjustRightInd/>
        <w:snapToGrid/>
        <w:ind w:left="0" w:leftChars="0" w:firstLine="420" w:firstLineChars="0"/>
        <w:textAlignment w:val="auto"/>
        <w:rPr>
          <w:rFonts w:hint="default" w:ascii="仿宋" w:hAnsi="仿宋" w:eastAsia="仿宋" w:cs="仿宋"/>
          <w:b/>
          <w:bCs/>
          <w:sz w:val="28"/>
          <w:szCs w:val="36"/>
          <w:lang w:val="en-US" w:eastAsia="zh-CN"/>
        </w:rPr>
      </w:pPr>
      <w:r>
        <w:rPr>
          <w:rFonts w:hint="eastAsia" w:ascii="仿宋" w:hAnsi="仿宋" w:eastAsia="仿宋" w:cs="仿宋"/>
          <w:b/>
          <w:bCs/>
          <w:sz w:val="28"/>
          <w:szCs w:val="36"/>
          <w:lang w:val="en-US" w:eastAsia="zh-CN"/>
        </w:rPr>
        <w:t>项目论证</w:t>
      </w:r>
    </w:p>
    <w:p w14:paraId="229F3AF1">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36"/>
          <w:lang w:val="en-US" w:eastAsia="zh-CN"/>
        </w:rPr>
      </w:pPr>
      <w:r>
        <w:rPr>
          <w:rFonts w:hint="eastAsia" w:ascii="仿宋" w:hAnsi="仿宋" w:eastAsia="仿宋" w:cs="仿宋"/>
          <w:sz w:val="28"/>
          <w:szCs w:val="36"/>
          <w:lang w:val="en-US" w:eastAsia="zh-CN"/>
        </w:rPr>
        <w:t>基建处组织</w:t>
      </w:r>
      <w:r>
        <w:rPr>
          <w:rFonts w:hint="default" w:ascii="仿宋" w:hAnsi="仿宋" w:eastAsia="仿宋" w:cs="仿宋"/>
          <w:sz w:val="28"/>
          <w:szCs w:val="36"/>
          <w:lang w:val="en-US" w:eastAsia="zh-CN"/>
        </w:rPr>
        <w:t>相关部门（学院）根据项目申请报告，在充分调研的基础上分析归纳需求，</w:t>
      </w:r>
      <w:r>
        <w:rPr>
          <w:rFonts w:hint="eastAsia" w:ascii="仿宋" w:hAnsi="仿宋" w:eastAsia="仿宋" w:cs="仿宋"/>
          <w:sz w:val="28"/>
          <w:szCs w:val="36"/>
          <w:lang w:val="en-US" w:eastAsia="zh-CN"/>
        </w:rPr>
        <w:t>论证项目可行性，形成项目建议方案</w:t>
      </w:r>
      <w:r>
        <w:rPr>
          <w:rFonts w:hint="default" w:ascii="仿宋" w:hAnsi="仿宋" w:eastAsia="仿宋" w:cs="仿宋"/>
          <w:sz w:val="28"/>
          <w:szCs w:val="36"/>
          <w:lang w:val="en-US" w:eastAsia="zh-CN"/>
        </w:rPr>
        <w:t>；报学校</w:t>
      </w:r>
      <w:r>
        <w:rPr>
          <w:rFonts w:hint="eastAsia" w:ascii="仿宋" w:hAnsi="仿宋" w:eastAsia="仿宋" w:cs="仿宋"/>
          <w:sz w:val="28"/>
          <w:szCs w:val="36"/>
          <w:lang w:val="en-US" w:eastAsia="zh-CN"/>
        </w:rPr>
        <w:t>工程建设</w:t>
      </w:r>
      <w:r>
        <w:rPr>
          <w:rFonts w:hint="default" w:ascii="仿宋" w:hAnsi="仿宋" w:eastAsia="仿宋" w:cs="仿宋"/>
          <w:sz w:val="28"/>
          <w:szCs w:val="36"/>
          <w:lang w:val="en-US" w:eastAsia="zh-CN"/>
        </w:rPr>
        <w:t>领导小组</w:t>
      </w:r>
      <w:r>
        <w:rPr>
          <w:rFonts w:hint="eastAsia" w:ascii="仿宋" w:hAnsi="仿宋" w:eastAsia="仿宋" w:cs="仿宋"/>
          <w:sz w:val="28"/>
          <w:szCs w:val="36"/>
          <w:lang w:val="en-US" w:eastAsia="zh-CN"/>
        </w:rPr>
        <w:t>和规划领导小组会议</w:t>
      </w:r>
      <w:r>
        <w:rPr>
          <w:rFonts w:hint="default" w:ascii="仿宋" w:hAnsi="仿宋" w:eastAsia="仿宋" w:cs="仿宋"/>
          <w:sz w:val="28"/>
          <w:szCs w:val="36"/>
          <w:lang w:val="en-US" w:eastAsia="zh-CN"/>
        </w:rPr>
        <w:t>对拟建项目的必要性、建设规模、选址、投资估算和经费来源等审</w:t>
      </w:r>
      <w:r>
        <w:rPr>
          <w:rFonts w:hint="eastAsia" w:ascii="仿宋" w:hAnsi="仿宋" w:eastAsia="仿宋" w:cs="仿宋"/>
          <w:sz w:val="28"/>
          <w:szCs w:val="36"/>
          <w:lang w:val="en-US" w:eastAsia="zh-CN"/>
        </w:rPr>
        <w:t>议</w:t>
      </w:r>
      <w:r>
        <w:rPr>
          <w:rFonts w:hint="default" w:ascii="仿宋" w:hAnsi="仿宋" w:eastAsia="仿宋" w:cs="仿宋"/>
          <w:sz w:val="28"/>
          <w:szCs w:val="36"/>
          <w:lang w:val="en-US" w:eastAsia="zh-CN"/>
        </w:rPr>
        <w:t>通过，形成项目立项申请，并由基建处报请分管基建的校领导、校长办公会或党委常委会完成校内立项审批。</w:t>
      </w:r>
    </w:p>
    <w:p w14:paraId="6655426E">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凡拟在学校校园区域实施的建设项目，必须先取得校内立项批准。对未完善报批手续、未落实资金来源即开展后续工作的，组织实施部门应承担相应责任。</w:t>
      </w:r>
    </w:p>
    <w:p w14:paraId="5E38ED88">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left"/>
        <w:textAlignment w:val="auto"/>
        <w:rPr>
          <w:rFonts w:hint="default" w:ascii="楷体" w:hAnsi="楷体" w:eastAsia="楷体" w:cs="楷体"/>
          <w:sz w:val="28"/>
          <w:szCs w:val="36"/>
          <w:lang w:val="en-US" w:eastAsia="zh-CN"/>
        </w:rPr>
      </w:pPr>
      <w:r>
        <w:rPr>
          <w:rFonts w:hint="eastAsia" w:ascii="楷体" w:hAnsi="楷体" w:eastAsia="楷体" w:cs="楷体"/>
          <w:sz w:val="28"/>
          <w:szCs w:val="36"/>
          <w:lang w:val="en-US" w:eastAsia="zh-CN"/>
        </w:rPr>
        <w:t>附：项目立项流程图</w:t>
      </w:r>
    </w:p>
    <w:p w14:paraId="20E6586E">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center"/>
        <w:textAlignment w:val="auto"/>
        <w:rPr>
          <w:rFonts w:hint="default" w:ascii="仿宋" w:hAnsi="仿宋" w:eastAsia="仿宋" w:cs="仿宋"/>
          <w:sz w:val="28"/>
          <w:szCs w:val="36"/>
          <w:lang w:val="en-US" w:eastAsia="zh-CN"/>
        </w:rPr>
      </w:pPr>
      <w:r>
        <w:rPr>
          <w:rFonts w:hint="default" w:ascii="仿宋" w:hAnsi="仿宋" w:eastAsia="仿宋" w:cs="仿宋"/>
          <w:sz w:val="28"/>
          <w:szCs w:val="36"/>
          <w:lang w:val="en-US" w:eastAsia="zh-CN"/>
        </w:rPr>
        <w:drawing>
          <wp:inline distT="0" distB="0" distL="114300" distR="114300">
            <wp:extent cx="2822575" cy="4126230"/>
            <wp:effectExtent l="0" t="0" r="15875" b="7620"/>
            <wp:docPr id="3" name="图片 3" descr="循环结构流程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循环结构流程图"/>
                    <pic:cNvPicPr>
                      <a:picLocks noChangeAspect="1"/>
                    </pic:cNvPicPr>
                  </pic:nvPicPr>
                  <pic:blipFill>
                    <a:blip r:embed="rId5"/>
                    <a:stretch>
                      <a:fillRect/>
                    </a:stretch>
                  </pic:blipFill>
                  <pic:spPr>
                    <a:xfrm>
                      <a:off x="0" y="0"/>
                      <a:ext cx="2822575" cy="4126230"/>
                    </a:xfrm>
                    <a:prstGeom prst="rect">
                      <a:avLst/>
                    </a:prstGeom>
                  </pic:spPr>
                </pic:pic>
              </a:graphicData>
            </a:graphic>
          </wp:inline>
        </w:drawing>
      </w:r>
    </w:p>
    <w:p w14:paraId="19897101">
      <w:pPr>
        <w:numPr>
          <w:ilvl w:val="0"/>
          <w:numId w:val="0"/>
        </w:numPr>
        <w:jc w:val="center"/>
        <w:rPr>
          <w:rFonts w:hint="eastAsia" w:ascii="楷体" w:hAnsi="楷体" w:eastAsia="楷体" w:cs="楷体"/>
          <w:b/>
          <w:bCs/>
          <w:sz w:val="24"/>
          <w:szCs w:val="32"/>
          <w:lang w:val="en-US" w:eastAsia="zh-CN"/>
        </w:rPr>
      </w:pPr>
      <w:r>
        <w:rPr>
          <w:rFonts w:hint="eastAsia" w:ascii="楷体" w:hAnsi="楷体" w:eastAsia="楷体" w:cs="楷体"/>
          <w:b/>
          <w:bCs/>
          <w:sz w:val="24"/>
          <w:szCs w:val="32"/>
          <w:lang w:val="en-US" w:eastAsia="zh-CN"/>
        </w:rPr>
        <w:t xml:space="preserve">  项目立项流程图</w:t>
      </w:r>
    </w:p>
    <w:p w14:paraId="2BA20843">
      <w:pPr>
        <w:numPr>
          <w:ilvl w:val="0"/>
          <w:numId w:val="0"/>
        </w:numPr>
        <w:jc w:val="center"/>
        <w:rPr>
          <w:rFonts w:hint="eastAsia" w:ascii="楷体" w:hAnsi="楷体" w:eastAsia="楷体" w:cs="楷体"/>
          <w:b/>
          <w:bCs/>
          <w:sz w:val="24"/>
          <w:szCs w:val="32"/>
          <w:lang w:val="en-US" w:eastAsia="zh-CN"/>
        </w:rPr>
      </w:pPr>
    </w:p>
    <w:p w14:paraId="2281D0B2">
      <w:pPr>
        <w:keepNext w:val="0"/>
        <w:keepLines w:val="0"/>
        <w:pageBreakBefore w:val="0"/>
        <w:widowControl w:val="0"/>
        <w:numPr>
          <w:ilvl w:val="0"/>
          <w:numId w:val="1"/>
        </w:numPr>
        <w:kinsoku/>
        <w:wordWrap/>
        <w:overflowPunct/>
        <w:topLinePunct w:val="0"/>
        <w:autoSpaceDE/>
        <w:autoSpaceDN/>
        <w:bidi w:val="0"/>
        <w:adjustRightInd/>
        <w:snapToGrid/>
        <w:spacing w:before="157" w:beforeLines="50"/>
        <w:ind w:left="0" w:leftChars="0" w:firstLine="0" w:firstLineChars="0"/>
        <w:jc w:val="both"/>
        <w:textAlignment w:val="auto"/>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工程联系单、指令单和开工令的流程办理</w:t>
      </w:r>
    </w:p>
    <w:p w14:paraId="075E115F">
      <w:pPr>
        <w:keepNext w:val="0"/>
        <w:keepLines w:val="0"/>
        <w:pageBreakBefore w:val="0"/>
        <w:kinsoku/>
        <w:wordWrap/>
        <w:overflowPunct/>
        <w:topLinePunct w:val="0"/>
        <w:autoSpaceDE/>
        <w:autoSpaceDN/>
        <w:bidi w:val="0"/>
        <w:adjustRightInd/>
        <w:snapToGrid/>
        <w:ind w:firstLine="560" w:firstLineChars="200"/>
        <w:jc w:val="left"/>
        <w:textAlignment w:val="auto"/>
        <w:rPr>
          <w:rFonts w:hint="default" w:ascii="仿宋" w:hAnsi="仿宋" w:eastAsia="仿宋" w:cs="仿宋"/>
          <w:b w:val="0"/>
          <w:bCs w:val="0"/>
          <w:i w:val="0"/>
          <w:iCs w:val="0"/>
          <w:caps w:val="0"/>
          <w:color w:val="191919"/>
          <w:spacing w:val="0"/>
          <w:sz w:val="28"/>
          <w:szCs w:val="28"/>
          <w:shd w:val="clear" w:color="auto" w:fill="FFFFFF"/>
          <w:lang w:val="en-US" w:eastAsia="zh-CN"/>
        </w:rPr>
      </w:pPr>
      <w:r>
        <w:rPr>
          <w:rFonts w:hint="eastAsia" w:ascii="仿宋" w:hAnsi="仿宋" w:eastAsia="仿宋" w:cs="仿宋"/>
          <w:i w:val="0"/>
          <w:iCs w:val="0"/>
          <w:caps w:val="0"/>
          <w:color w:val="191919"/>
          <w:spacing w:val="0"/>
          <w:sz w:val="28"/>
          <w:szCs w:val="28"/>
          <w:shd w:val="clear" w:color="auto" w:fill="FFFFFF"/>
          <w:lang w:val="en-US" w:eastAsia="zh-CN"/>
        </w:rPr>
        <w:t>工程联系单</w:t>
      </w:r>
      <w:r>
        <w:rPr>
          <w:rFonts w:hint="eastAsia" w:ascii="仿宋" w:hAnsi="仿宋" w:eastAsia="仿宋" w:cs="仿宋"/>
          <w:i w:val="0"/>
          <w:iCs w:val="0"/>
          <w:caps w:val="0"/>
          <w:color w:val="191919"/>
          <w:spacing w:val="0"/>
          <w:sz w:val="28"/>
          <w:szCs w:val="28"/>
          <w:shd w:val="clear" w:color="auto" w:fill="FFFFFF"/>
        </w:rPr>
        <w:t>是参与工程建设的建设、设计、监理和施工单位，在工程建设过程中，为协调处理各种工程事件，单方出具的书面联系文书，一般由出具方签字盖章</w:t>
      </w:r>
      <w:r>
        <w:rPr>
          <w:rFonts w:hint="eastAsia" w:ascii="仿宋" w:hAnsi="仿宋" w:eastAsia="仿宋" w:cs="仿宋"/>
          <w:i w:val="0"/>
          <w:iCs w:val="0"/>
          <w:caps w:val="0"/>
          <w:color w:val="191919"/>
          <w:spacing w:val="0"/>
          <w:sz w:val="28"/>
          <w:szCs w:val="28"/>
          <w:shd w:val="clear" w:color="auto" w:fill="FFFFFF"/>
          <w:lang w:eastAsia="zh-CN"/>
        </w:rPr>
        <w:t>，</w:t>
      </w:r>
      <w:r>
        <w:rPr>
          <w:rFonts w:hint="eastAsia" w:ascii="仿宋" w:hAnsi="仿宋" w:eastAsia="仿宋" w:cs="仿宋"/>
          <w:i w:val="0"/>
          <w:iCs w:val="0"/>
          <w:caps w:val="0"/>
          <w:color w:val="191919"/>
          <w:spacing w:val="0"/>
          <w:sz w:val="28"/>
          <w:szCs w:val="28"/>
          <w:shd w:val="clear" w:color="auto" w:fill="FFFFFF"/>
          <w:lang w:val="en-US" w:eastAsia="zh-CN"/>
        </w:rPr>
        <w:t>另一方签字盖章确认签收</w:t>
      </w:r>
      <w:r>
        <w:rPr>
          <w:rFonts w:hint="eastAsia" w:ascii="仿宋" w:hAnsi="仿宋" w:eastAsia="仿宋" w:cs="仿宋"/>
          <w:i w:val="0"/>
          <w:iCs w:val="0"/>
          <w:caps w:val="0"/>
          <w:color w:val="191919"/>
          <w:spacing w:val="0"/>
          <w:sz w:val="28"/>
          <w:szCs w:val="28"/>
          <w:shd w:val="clear" w:color="auto" w:fill="FFFFFF"/>
        </w:rPr>
        <w:t>。其内容仅作为联系工作的情况表述，不作为最终事实的确认，如其内容实际成为施工事实的须另行办理签证单予以确认；如其内容涉及设计变更的须按规定另行办理设计变更单或者技术核定单。</w:t>
      </w:r>
      <w:r>
        <w:rPr>
          <w:rFonts w:hint="eastAsia" w:ascii="仿宋" w:hAnsi="仿宋" w:eastAsia="仿宋" w:cs="仿宋"/>
          <w:b/>
          <w:bCs/>
          <w:i w:val="0"/>
          <w:iCs w:val="0"/>
          <w:caps w:val="0"/>
          <w:color w:val="191919"/>
          <w:spacing w:val="0"/>
          <w:sz w:val="28"/>
          <w:szCs w:val="28"/>
          <w:shd w:val="clear" w:color="auto" w:fill="FFFFFF"/>
        </w:rPr>
        <w:t>工程联系单不作为工程事实确认的依据，也不作为办理竣工增减结算的依据。</w:t>
      </w:r>
      <w:r>
        <w:rPr>
          <w:rFonts w:hint="eastAsia" w:ascii="仿宋" w:hAnsi="仿宋" w:eastAsia="仿宋" w:cs="仿宋"/>
          <w:b w:val="0"/>
          <w:bCs w:val="0"/>
          <w:i w:val="0"/>
          <w:iCs w:val="0"/>
          <w:caps w:val="0"/>
          <w:color w:val="191919"/>
          <w:spacing w:val="0"/>
          <w:sz w:val="28"/>
          <w:szCs w:val="28"/>
          <w:shd w:val="clear" w:color="auto" w:fill="FFFFFF"/>
          <w:lang w:val="en-US" w:eastAsia="zh-CN"/>
        </w:rPr>
        <w:t>相关格式参考附件2-工作联系单。</w:t>
      </w:r>
    </w:p>
    <w:p w14:paraId="35ABAE90">
      <w:pPr>
        <w:keepNext w:val="0"/>
        <w:keepLines w:val="0"/>
        <w:pageBreakBefore w:val="0"/>
        <w:kinsoku/>
        <w:wordWrap/>
        <w:overflowPunct/>
        <w:topLinePunct w:val="0"/>
        <w:autoSpaceDE/>
        <w:autoSpaceDN/>
        <w:bidi w:val="0"/>
        <w:adjustRightInd/>
        <w:snapToGrid/>
        <w:ind w:firstLine="560" w:firstLineChars="200"/>
        <w:jc w:val="left"/>
        <w:textAlignment w:val="auto"/>
        <w:rPr>
          <w:rFonts w:hint="default" w:ascii="仿宋" w:hAnsi="仿宋" w:eastAsia="仿宋" w:cs="仿宋"/>
          <w:b w:val="0"/>
          <w:bCs w:val="0"/>
          <w:i w:val="0"/>
          <w:iCs w:val="0"/>
          <w:caps w:val="0"/>
          <w:color w:val="191919"/>
          <w:spacing w:val="0"/>
          <w:sz w:val="28"/>
          <w:szCs w:val="28"/>
          <w:shd w:val="clear" w:color="auto" w:fill="FFFFFF"/>
          <w:lang w:val="en-US" w:eastAsia="zh-CN"/>
        </w:rPr>
      </w:pPr>
      <w:r>
        <w:rPr>
          <w:rFonts w:hint="eastAsia" w:ascii="仿宋" w:hAnsi="仿宋" w:eastAsia="仿宋" w:cs="仿宋"/>
          <w:i w:val="0"/>
          <w:iCs w:val="0"/>
          <w:caps w:val="0"/>
          <w:color w:val="191919"/>
          <w:spacing w:val="0"/>
          <w:sz w:val="28"/>
          <w:szCs w:val="28"/>
          <w:shd w:val="clear" w:color="auto" w:fill="FFFFFF"/>
          <w:lang w:val="en-US" w:eastAsia="zh-CN"/>
        </w:rPr>
        <w:t>工程指令单为建设单位</w:t>
      </w:r>
      <w:r>
        <w:rPr>
          <w:rFonts w:hint="eastAsia" w:ascii="仿宋" w:hAnsi="仿宋" w:eastAsia="仿宋" w:cs="仿宋"/>
          <w:i w:val="0"/>
          <w:iCs w:val="0"/>
          <w:caps w:val="0"/>
          <w:color w:val="191919"/>
          <w:spacing w:val="0"/>
          <w:sz w:val="28"/>
          <w:szCs w:val="28"/>
          <w:shd w:val="clear" w:color="auto" w:fill="FFFFFF"/>
        </w:rPr>
        <w:t>或委托的监理工程师下达的，主要用于指示</w:t>
      </w:r>
      <w:r>
        <w:rPr>
          <w:rFonts w:hint="eastAsia" w:ascii="仿宋" w:hAnsi="仿宋" w:eastAsia="仿宋" w:cs="仿宋"/>
          <w:i w:val="0"/>
          <w:iCs w:val="0"/>
          <w:caps w:val="0"/>
          <w:color w:val="191919"/>
          <w:spacing w:val="0"/>
          <w:sz w:val="28"/>
          <w:szCs w:val="28"/>
          <w:shd w:val="clear" w:color="auto" w:fill="FFFFFF"/>
          <w:lang w:val="en-US" w:eastAsia="zh-CN"/>
        </w:rPr>
        <w:t>施工单位</w:t>
      </w:r>
      <w:r>
        <w:rPr>
          <w:rFonts w:hint="eastAsia" w:ascii="仿宋" w:hAnsi="仿宋" w:eastAsia="仿宋" w:cs="仿宋"/>
          <w:i w:val="0"/>
          <w:iCs w:val="0"/>
          <w:caps w:val="0"/>
          <w:color w:val="191919"/>
          <w:spacing w:val="0"/>
          <w:sz w:val="28"/>
          <w:szCs w:val="28"/>
          <w:shd w:val="clear" w:color="auto" w:fill="FFFFFF"/>
        </w:rPr>
        <w:t>进行设计变更或者对施工质量问题进行整改。它是具有法律效力的正式文件，</w:t>
      </w:r>
      <w:r>
        <w:rPr>
          <w:rFonts w:hint="eastAsia" w:ascii="仿宋" w:hAnsi="仿宋" w:eastAsia="仿宋" w:cs="仿宋"/>
          <w:i w:val="0"/>
          <w:iCs w:val="0"/>
          <w:caps w:val="0"/>
          <w:color w:val="191919"/>
          <w:spacing w:val="0"/>
          <w:sz w:val="28"/>
          <w:szCs w:val="28"/>
          <w:shd w:val="clear" w:color="auto" w:fill="FFFFFF"/>
          <w:lang w:val="en-US" w:eastAsia="zh-CN"/>
        </w:rPr>
        <w:t>施工单位</w:t>
      </w:r>
      <w:r>
        <w:rPr>
          <w:rFonts w:hint="eastAsia" w:ascii="仿宋" w:hAnsi="仿宋" w:eastAsia="仿宋" w:cs="仿宋"/>
          <w:i w:val="0"/>
          <w:iCs w:val="0"/>
          <w:caps w:val="0"/>
          <w:color w:val="191919"/>
          <w:spacing w:val="0"/>
          <w:sz w:val="28"/>
          <w:szCs w:val="28"/>
          <w:shd w:val="clear" w:color="auto" w:fill="FFFFFF"/>
        </w:rPr>
        <w:t>必须按照指令单的要求执行。工程指令单的发出方通常是</w:t>
      </w:r>
      <w:r>
        <w:rPr>
          <w:rFonts w:hint="eastAsia" w:ascii="仿宋" w:hAnsi="仿宋" w:eastAsia="仿宋" w:cs="仿宋"/>
          <w:i w:val="0"/>
          <w:iCs w:val="0"/>
          <w:caps w:val="0"/>
          <w:color w:val="191919"/>
          <w:spacing w:val="0"/>
          <w:sz w:val="28"/>
          <w:szCs w:val="28"/>
          <w:shd w:val="clear" w:color="auto" w:fill="FFFFFF"/>
          <w:lang w:val="en-US" w:eastAsia="zh-CN"/>
        </w:rPr>
        <w:t>建设单位</w:t>
      </w:r>
      <w:r>
        <w:rPr>
          <w:rFonts w:hint="eastAsia" w:ascii="仿宋" w:hAnsi="仿宋" w:eastAsia="仿宋" w:cs="仿宋"/>
          <w:i w:val="0"/>
          <w:iCs w:val="0"/>
          <w:caps w:val="0"/>
          <w:color w:val="191919"/>
          <w:spacing w:val="0"/>
          <w:sz w:val="28"/>
          <w:szCs w:val="28"/>
          <w:shd w:val="clear" w:color="auto" w:fill="FFFFFF"/>
        </w:rPr>
        <w:t>或监理单位，接收方是施工单位。</w:t>
      </w:r>
      <w:r>
        <w:rPr>
          <w:rFonts w:hint="eastAsia" w:ascii="仿宋" w:hAnsi="仿宋" w:eastAsia="仿宋" w:cs="仿宋"/>
          <w:b w:val="0"/>
          <w:bCs w:val="0"/>
          <w:i w:val="0"/>
          <w:iCs w:val="0"/>
          <w:caps w:val="0"/>
          <w:color w:val="191919"/>
          <w:spacing w:val="0"/>
          <w:sz w:val="28"/>
          <w:szCs w:val="28"/>
          <w:shd w:val="clear" w:color="auto" w:fill="FFFFFF"/>
          <w:lang w:val="en-US" w:eastAsia="zh-CN"/>
        </w:rPr>
        <w:t>相关格式参考附件3-工程指令单。</w:t>
      </w:r>
    </w:p>
    <w:p w14:paraId="29500A5A">
      <w:pPr>
        <w:keepNext w:val="0"/>
        <w:keepLines w:val="0"/>
        <w:pageBreakBefore w:val="0"/>
        <w:widowControl w:val="0"/>
        <w:numPr>
          <w:ilvl w:val="0"/>
          <w:numId w:val="1"/>
        </w:numPr>
        <w:kinsoku/>
        <w:wordWrap/>
        <w:overflowPunct/>
        <w:topLinePunct w:val="0"/>
        <w:autoSpaceDE/>
        <w:autoSpaceDN/>
        <w:bidi w:val="0"/>
        <w:adjustRightInd/>
        <w:snapToGrid/>
        <w:spacing w:before="157" w:beforeLines="50"/>
        <w:ind w:left="0" w:leftChars="0" w:firstLine="0" w:firstLineChars="0"/>
        <w:jc w:val="both"/>
        <w:textAlignment w:val="auto"/>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工程签证、变更和材料定价流程办理</w:t>
      </w:r>
    </w:p>
    <w:p w14:paraId="7C43ADD7">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严格控制工程造价，任何单位和个人不得擅自改变工程内容、装修标准等，未经批准不得突破学校立项经费。</w:t>
      </w:r>
    </w:p>
    <w:p w14:paraId="6D5F5477">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（一）工程签证办理程序</w:t>
      </w:r>
    </w:p>
    <w:p w14:paraId="180AD150">
      <w:pPr>
        <w:keepNext w:val="0"/>
        <w:keepLines w:val="0"/>
        <w:pageBreakBefore w:val="0"/>
        <w:widowControl w:val="0"/>
        <w:numPr>
          <w:ilvl w:val="0"/>
          <w:numId w:val="3"/>
        </w:numPr>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单项金额估价在 1 万元以内的工程签证，由项目现场负责人（主管工程师）签署意见，经基建处分管领导批准并加盖公章后生效；</w:t>
      </w:r>
    </w:p>
    <w:p w14:paraId="379E6F4B">
      <w:pPr>
        <w:keepNext w:val="0"/>
        <w:keepLines w:val="0"/>
        <w:pageBreakBefore w:val="0"/>
        <w:widowControl w:val="0"/>
        <w:numPr>
          <w:ilvl w:val="0"/>
          <w:numId w:val="3"/>
        </w:numPr>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 xml:space="preserve">单项金额估价在 1 万元（含 1 万元）-5 万的工程签证，由项目现场负责人提交基建处处务会研究同意后，经基建处处长签字并加盖公章后生效； </w:t>
      </w:r>
    </w:p>
    <w:p w14:paraId="6D3714F0">
      <w:pPr>
        <w:keepNext w:val="0"/>
        <w:keepLines w:val="0"/>
        <w:pageBreakBefore w:val="0"/>
        <w:widowControl w:val="0"/>
        <w:numPr>
          <w:ilvl w:val="0"/>
          <w:numId w:val="3"/>
        </w:numPr>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 xml:space="preserve">单项金额估价在 5 万元（含 5 万元）-20 万元的工程签证，由项目现场负责人提交基建处处务会研究同意，报分管校领导批准后生效； </w:t>
      </w:r>
    </w:p>
    <w:p w14:paraId="6397608B">
      <w:pPr>
        <w:keepNext w:val="0"/>
        <w:keepLines w:val="0"/>
        <w:pageBreakBefore w:val="0"/>
        <w:widowControl w:val="0"/>
        <w:numPr>
          <w:ilvl w:val="0"/>
          <w:numId w:val="3"/>
        </w:numPr>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 xml:space="preserve">单项金额估价在 20 万元（含 20 万元）以上的工程签证，由项目现场负责人提交基建处处务会研究同意，经学校工程建设领导小组讨论，报学校审批后生效。 </w:t>
      </w:r>
    </w:p>
    <w:p w14:paraId="1981F33C">
      <w:pPr>
        <w:keepNext w:val="0"/>
        <w:keepLines w:val="0"/>
        <w:pageBreakBefore w:val="0"/>
        <w:widowControl w:val="0"/>
        <w:numPr>
          <w:ilvl w:val="0"/>
          <w:numId w:val="3"/>
        </w:numPr>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隐蔽工程单项金额在 2 万元以上（含 2 万元）的工程签证，由基建处组织学校审计等部门人员，实地查验并会签后，按程序报批。</w:t>
      </w:r>
    </w:p>
    <w:p w14:paraId="0C608191">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工程签证办理流程如下图，填报模板详见附件4《工程签证单》。</w:t>
      </w:r>
    </w:p>
    <w:p w14:paraId="2C0F62DF">
      <w:pPr>
        <w:numPr>
          <w:ilvl w:val="0"/>
          <w:numId w:val="0"/>
        </w:numPr>
        <w:jc w:val="center"/>
        <w:rPr>
          <w:rFonts w:hint="default" w:ascii="仿宋" w:hAnsi="仿宋" w:eastAsia="仿宋" w:cs="仿宋"/>
          <w:b/>
          <w:bCs/>
          <w:sz w:val="28"/>
          <w:szCs w:val="36"/>
          <w:lang w:val="en-US" w:eastAsia="zh-CN"/>
        </w:rPr>
      </w:pPr>
      <w:r>
        <w:rPr>
          <w:rFonts w:hint="default" w:ascii="仿宋" w:hAnsi="仿宋" w:eastAsia="仿宋" w:cs="仿宋"/>
          <w:b/>
          <w:bCs/>
          <w:sz w:val="28"/>
          <w:szCs w:val="36"/>
          <w:lang w:val="en-US" w:eastAsia="zh-CN"/>
        </w:rPr>
        <w:drawing>
          <wp:inline distT="0" distB="0" distL="114300" distR="114300">
            <wp:extent cx="4249420" cy="4080510"/>
            <wp:effectExtent l="0" t="0" r="17780" b="15240"/>
            <wp:docPr id="4" name="图片 4" descr="菌株管理系统开发流程(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菌株管理系统开发流程(1)"/>
                    <pic:cNvPicPr>
                      <a:picLocks noChangeAspect="1"/>
                    </pic:cNvPicPr>
                  </pic:nvPicPr>
                  <pic:blipFill>
                    <a:blip r:embed="rId6"/>
                    <a:stretch>
                      <a:fillRect/>
                    </a:stretch>
                  </pic:blipFill>
                  <pic:spPr>
                    <a:xfrm>
                      <a:off x="0" y="0"/>
                      <a:ext cx="4249420" cy="4080510"/>
                    </a:xfrm>
                    <a:prstGeom prst="rect">
                      <a:avLst/>
                    </a:prstGeom>
                  </pic:spPr>
                </pic:pic>
              </a:graphicData>
            </a:graphic>
          </wp:inline>
        </w:drawing>
      </w:r>
    </w:p>
    <w:p w14:paraId="343AEB07">
      <w:pPr>
        <w:numPr>
          <w:ilvl w:val="0"/>
          <w:numId w:val="0"/>
        </w:numPr>
        <w:jc w:val="center"/>
        <w:rPr>
          <w:rFonts w:hint="eastAsia" w:ascii="楷体" w:hAnsi="楷体" w:eastAsia="楷体" w:cs="楷体"/>
          <w:b/>
          <w:bCs/>
          <w:sz w:val="24"/>
          <w:szCs w:val="32"/>
          <w:lang w:val="en-US" w:eastAsia="zh-CN"/>
        </w:rPr>
      </w:pPr>
      <w:r>
        <w:rPr>
          <w:rFonts w:hint="eastAsia" w:ascii="楷体" w:hAnsi="楷体" w:eastAsia="楷体" w:cs="楷体"/>
          <w:b/>
          <w:bCs/>
          <w:sz w:val="24"/>
          <w:szCs w:val="32"/>
          <w:lang w:val="en-US" w:eastAsia="zh-CN"/>
        </w:rPr>
        <w:t xml:space="preserve"> 工程签证办理流程</w:t>
      </w:r>
    </w:p>
    <w:p w14:paraId="1933023F">
      <w:pPr>
        <w:keepNext w:val="0"/>
        <w:keepLines w:val="0"/>
        <w:pageBreakBefore w:val="0"/>
        <w:widowControl w:val="0"/>
        <w:numPr>
          <w:ilvl w:val="0"/>
          <w:numId w:val="4"/>
        </w:numPr>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工程设计变更办理程序</w:t>
      </w:r>
    </w:p>
    <w:p w14:paraId="42F16FBC">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施工中由于场地条件、国家政策法规的改变、技术要求等原因造成的工程变更，由各有关单位提出书面工作联系单，分别按以下情况处理：</w:t>
      </w:r>
    </w:p>
    <w:p w14:paraId="09F1EE05">
      <w:pPr>
        <w:keepNext w:val="0"/>
        <w:keepLines w:val="0"/>
        <w:pageBreakBefore w:val="0"/>
        <w:widowControl w:val="0"/>
        <w:numPr>
          <w:ilvl w:val="0"/>
          <w:numId w:val="5"/>
        </w:numPr>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 xml:space="preserve">对不涉及工程造价增减且对工程主体结构安全无影响的变更，由基建工程项目现场负责人（主管工程师）办理工程设计变更文件。 </w:t>
      </w:r>
    </w:p>
    <w:p w14:paraId="25837E61">
      <w:pPr>
        <w:keepNext w:val="0"/>
        <w:keepLines w:val="0"/>
        <w:pageBreakBefore w:val="0"/>
        <w:widowControl w:val="0"/>
        <w:numPr>
          <w:ilvl w:val="0"/>
          <w:numId w:val="5"/>
        </w:numPr>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 xml:space="preserve">对单项变更工程造价增减数额２万元以下且对工程主体结构安全无影响的变更，由项目现场负责人充分论证后，经基建处分管领导签字后，办理工程设计变更单。 </w:t>
      </w:r>
    </w:p>
    <w:p w14:paraId="19A3AA30">
      <w:pPr>
        <w:keepNext w:val="0"/>
        <w:keepLines w:val="0"/>
        <w:pageBreakBefore w:val="0"/>
        <w:widowControl w:val="0"/>
        <w:numPr>
          <w:ilvl w:val="0"/>
          <w:numId w:val="5"/>
        </w:numPr>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 xml:space="preserve">对单项变更工程造价增减数额２万元（含2万元）以上、５万元以下且对工程主体结构安全无影响的工程变更，由项目主管工程师提交基建处处务会研究同意，经基建处处长签字后，办理工程设计变更单。 </w:t>
      </w:r>
    </w:p>
    <w:p w14:paraId="4493C2CF">
      <w:pPr>
        <w:keepNext w:val="0"/>
        <w:keepLines w:val="0"/>
        <w:pageBreakBefore w:val="0"/>
        <w:widowControl w:val="0"/>
        <w:numPr>
          <w:ilvl w:val="0"/>
          <w:numId w:val="5"/>
        </w:numPr>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 xml:space="preserve">对单项变更工程造价增减数额 5 万元（含5万元）以上、20 万元以下且对工程主体结构安全无影响的变更，由基建处组织学校审计和监理、施工单位进行现场论证并出具工程变更意见书，报分管校领导审批后办理工程设计变更单。 </w:t>
      </w:r>
    </w:p>
    <w:p w14:paraId="2EF1BCE4">
      <w:pPr>
        <w:keepNext w:val="0"/>
        <w:keepLines w:val="0"/>
        <w:pageBreakBefore w:val="0"/>
        <w:widowControl w:val="0"/>
        <w:numPr>
          <w:ilvl w:val="0"/>
          <w:numId w:val="5"/>
        </w:numPr>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对单项变更工程造价增减数额20万元（含 20 万元）以上且对工程主体结构安全无影响的变更，由项目主管工程师提交基建处处务会研究同意，由基建处组织学校审计处和监理单位、施工单位进行现场论证并出具工程变更意见书，经学校工程建设领导小组讨论审议后，报学校审批后下达工程设计变更通知单。</w:t>
      </w:r>
    </w:p>
    <w:p w14:paraId="11F455F0">
      <w:pPr>
        <w:keepNext w:val="0"/>
        <w:keepLines w:val="0"/>
        <w:pageBreakBefore w:val="0"/>
        <w:widowControl w:val="0"/>
        <w:numPr>
          <w:ilvl w:val="0"/>
          <w:numId w:val="0"/>
        </w:numPr>
        <w:kinsoku/>
        <w:wordWrap/>
        <w:overflowPunct/>
        <w:topLinePunct w:val="0"/>
        <w:autoSpaceDE/>
        <w:autoSpaceDN/>
        <w:bidi w:val="0"/>
        <w:adjustRightInd/>
        <w:snapToGrid/>
        <w:ind w:left="0" w:leftChars="0" w:firstLine="422" w:firstLineChars="150"/>
        <w:textAlignment w:val="auto"/>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工程设计变更办理流程如下图，工程设计变更单办理模板详见附件5《工程设计变更单》。</w:t>
      </w:r>
    </w:p>
    <w:p w14:paraId="1C9841C3">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drawing>
          <wp:inline distT="0" distB="0" distL="114300" distR="114300">
            <wp:extent cx="5253355" cy="5060950"/>
            <wp:effectExtent l="0" t="0" r="4445" b="6350"/>
            <wp:docPr id="6" name="图片 6" descr="变更办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变更办理"/>
                    <pic:cNvPicPr>
                      <a:picLocks noChangeAspect="1"/>
                    </pic:cNvPicPr>
                  </pic:nvPicPr>
                  <pic:blipFill>
                    <a:blip r:embed="rId7"/>
                    <a:stretch>
                      <a:fillRect/>
                    </a:stretch>
                  </pic:blipFill>
                  <pic:spPr>
                    <a:xfrm>
                      <a:off x="0" y="0"/>
                      <a:ext cx="5253355" cy="5060950"/>
                    </a:xfrm>
                    <a:prstGeom prst="rect">
                      <a:avLst/>
                    </a:prstGeom>
                  </pic:spPr>
                </pic:pic>
              </a:graphicData>
            </a:graphic>
          </wp:inline>
        </w:drawing>
      </w:r>
    </w:p>
    <w:p w14:paraId="580183BF">
      <w:pPr>
        <w:numPr>
          <w:ilvl w:val="0"/>
          <w:numId w:val="0"/>
        </w:numPr>
        <w:jc w:val="center"/>
        <w:rPr>
          <w:rFonts w:hint="eastAsia" w:ascii="楷体" w:hAnsi="楷体" w:eastAsia="楷体" w:cs="楷体"/>
          <w:b/>
          <w:bCs/>
          <w:sz w:val="24"/>
          <w:szCs w:val="32"/>
          <w:lang w:val="en-US" w:eastAsia="zh-CN"/>
        </w:rPr>
      </w:pPr>
      <w:r>
        <w:rPr>
          <w:rFonts w:hint="eastAsia" w:ascii="楷体" w:hAnsi="楷体" w:eastAsia="楷体" w:cs="楷体"/>
          <w:b/>
          <w:bCs/>
          <w:sz w:val="24"/>
          <w:szCs w:val="32"/>
          <w:lang w:val="en-US" w:eastAsia="zh-CN"/>
        </w:rPr>
        <w:t xml:space="preserve">  工程变更办理流程</w:t>
      </w:r>
    </w:p>
    <w:p w14:paraId="628F7A2A">
      <w:pPr>
        <w:keepNext w:val="0"/>
        <w:keepLines w:val="0"/>
        <w:pageBreakBefore w:val="0"/>
        <w:widowControl w:val="0"/>
        <w:numPr>
          <w:ilvl w:val="0"/>
          <w:numId w:val="4"/>
        </w:numPr>
        <w:kinsoku/>
        <w:wordWrap/>
        <w:overflowPunct/>
        <w:topLinePunct w:val="0"/>
        <w:autoSpaceDE/>
        <w:autoSpaceDN/>
        <w:bidi w:val="0"/>
        <w:adjustRightInd/>
        <w:snapToGrid/>
        <w:ind w:firstLine="562" w:firstLineChars="200"/>
        <w:textAlignment w:val="auto"/>
        <w:rPr>
          <w:rFonts w:ascii="宋体" w:hAnsi="宋体" w:eastAsia="宋体" w:cs="宋体"/>
          <w:sz w:val="24"/>
          <w:szCs w:val="24"/>
        </w:rPr>
      </w:pPr>
      <w:r>
        <w:rPr>
          <w:rFonts w:hint="eastAsia" w:ascii="仿宋" w:hAnsi="仿宋" w:eastAsia="仿宋" w:cs="仿宋"/>
          <w:b/>
          <w:bCs/>
          <w:sz w:val="28"/>
          <w:szCs w:val="36"/>
          <w:lang w:val="en-US" w:eastAsia="zh-CN"/>
        </w:rPr>
        <w:t>工程材料定牌定价办理程序</w:t>
      </w:r>
    </w:p>
    <w:p w14:paraId="64A3E33F">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工程建设中的材料定牌定价工作，由学校工程建设材料定牌定价工作小组负责。工程建设材料定牌定价工作小组由基建处处长担任组长，计划财务处、审计处、招标采购中心主要负责人及工程项目相关技术人员组成；工作小组负责认定需要定牌定价的材料。定牌定价工作按以下程序进行：</w:t>
      </w:r>
    </w:p>
    <w:p w14:paraId="2392A9A7">
      <w:pPr>
        <w:keepNext w:val="0"/>
        <w:keepLines w:val="0"/>
        <w:pageBreakBefore w:val="0"/>
        <w:widowControl w:val="0"/>
        <w:numPr>
          <w:ilvl w:val="0"/>
          <w:numId w:val="6"/>
        </w:numPr>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工作小组对须定牌定价的材料组织人员（不得少于三人）进行市场询牌询价确定材料的价格、品牌、规格、型号、数量和质量；</w:t>
      </w:r>
    </w:p>
    <w:p w14:paraId="77575DDE">
      <w:pPr>
        <w:keepNext w:val="0"/>
        <w:keepLines w:val="0"/>
        <w:pageBreakBefore w:val="0"/>
        <w:widowControl w:val="0"/>
        <w:numPr>
          <w:ilvl w:val="0"/>
          <w:numId w:val="6"/>
        </w:numPr>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 xml:space="preserve">询牌询价人员经过市场调研后，询牌询价结果向工作小组汇报，由工作小组召开会议确定品牌及价格。如工作小组会议讨论认为需要招标的则进入招标程序定价； </w:t>
      </w:r>
    </w:p>
    <w:p w14:paraId="5355D021">
      <w:pPr>
        <w:keepNext w:val="0"/>
        <w:keepLines w:val="0"/>
        <w:pageBreakBefore w:val="0"/>
        <w:widowControl w:val="0"/>
        <w:numPr>
          <w:ilvl w:val="0"/>
          <w:numId w:val="6"/>
        </w:numPr>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 xml:space="preserve">材料定牌定价后，参与定牌定价的人员须在定牌定价单上签字并加盖基建处公章。须定牌定价的材料未经定牌定价程序的不得结算； </w:t>
      </w:r>
    </w:p>
    <w:p w14:paraId="7A76C73E">
      <w:pPr>
        <w:keepNext w:val="0"/>
        <w:keepLines w:val="0"/>
        <w:pageBreakBefore w:val="0"/>
        <w:widowControl w:val="0"/>
        <w:numPr>
          <w:ilvl w:val="0"/>
          <w:numId w:val="6"/>
        </w:numPr>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 xml:space="preserve">单项建设工程中，同一种应定牌定价的材料总价在1万元以内的，由定牌定价工作小组授权，可由基建处以会议的形式确定材料品牌及价格； </w:t>
      </w:r>
    </w:p>
    <w:p w14:paraId="4BC1A93B">
      <w:pPr>
        <w:keepNext w:val="0"/>
        <w:keepLines w:val="0"/>
        <w:pageBreakBefore w:val="0"/>
        <w:widowControl w:val="0"/>
        <w:numPr>
          <w:ilvl w:val="0"/>
          <w:numId w:val="6"/>
        </w:numPr>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工程材料定牌定价单（</w:t>
      </w:r>
      <w:r>
        <w:rPr>
          <w:rFonts w:hint="eastAsia" w:ascii="仿宋" w:hAnsi="仿宋" w:eastAsia="仿宋" w:cs="仿宋"/>
          <w:b/>
          <w:bCs/>
          <w:sz w:val="28"/>
          <w:szCs w:val="36"/>
          <w:lang w:val="en-US" w:eastAsia="zh-CN"/>
        </w:rPr>
        <w:t>附件6工程材料定牌定价单》</w:t>
      </w:r>
      <w:r>
        <w:rPr>
          <w:rFonts w:hint="eastAsia" w:ascii="仿宋" w:hAnsi="仿宋" w:eastAsia="仿宋" w:cs="仿宋"/>
          <w:sz w:val="28"/>
          <w:szCs w:val="36"/>
          <w:lang w:val="en-US" w:eastAsia="zh-CN"/>
        </w:rPr>
        <w:t>）一式四份，基建处留存两份，审计处、施工单位各存一份。</w:t>
      </w:r>
    </w:p>
    <w:p w14:paraId="00A0B037">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附：定牌定价办理流程</w:t>
      </w:r>
    </w:p>
    <w:p w14:paraId="7A8DBD3E">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drawing>
          <wp:inline distT="0" distB="0" distL="114300" distR="114300">
            <wp:extent cx="2665095" cy="3602355"/>
            <wp:effectExtent l="0" t="0" r="1905" b="17145"/>
            <wp:docPr id="5" name="图片 5" descr="定牌定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定牌定价"/>
                    <pic:cNvPicPr>
                      <a:picLocks noChangeAspect="1"/>
                    </pic:cNvPicPr>
                  </pic:nvPicPr>
                  <pic:blipFill>
                    <a:blip r:embed="rId8"/>
                    <a:stretch>
                      <a:fillRect/>
                    </a:stretch>
                  </pic:blipFill>
                  <pic:spPr>
                    <a:xfrm>
                      <a:off x="0" y="0"/>
                      <a:ext cx="2665095" cy="3602355"/>
                    </a:xfrm>
                    <a:prstGeom prst="rect">
                      <a:avLst/>
                    </a:prstGeom>
                  </pic:spPr>
                </pic:pic>
              </a:graphicData>
            </a:graphic>
          </wp:inline>
        </w:drawing>
      </w:r>
    </w:p>
    <w:p w14:paraId="2F69528D">
      <w:pPr>
        <w:numPr>
          <w:ilvl w:val="0"/>
          <w:numId w:val="0"/>
        </w:numPr>
        <w:jc w:val="center"/>
        <w:rPr>
          <w:rFonts w:hint="eastAsia" w:ascii="楷体" w:hAnsi="楷体" w:eastAsia="楷体" w:cs="楷体"/>
          <w:b/>
          <w:bCs/>
          <w:sz w:val="24"/>
          <w:szCs w:val="32"/>
          <w:lang w:val="en-US" w:eastAsia="zh-CN"/>
        </w:rPr>
      </w:pPr>
      <w:r>
        <w:rPr>
          <w:rFonts w:hint="eastAsia" w:ascii="楷体" w:hAnsi="楷体" w:eastAsia="楷体" w:cs="楷体"/>
          <w:b/>
          <w:bCs/>
          <w:sz w:val="24"/>
          <w:szCs w:val="32"/>
          <w:lang w:val="en-US" w:eastAsia="zh-CN"/>
        </w:rPr>
        <w:t>工程材料定牌定价办理流程</w:t>
      </w:r>
    </w:p>
    <w:p w14:paraId="2F47BABA">
      <w:pPr>
        <w:keepNext w:val="0"/>
        <w:keepLines w:val="0"/>
        <w:pageBreakBefore w:val="0"/>
        <w:widowControl w:val="0"/>
        <w:numPr>
          <w:ilvl w:val="0"/>
          <w:numId w:val="1"/>
        </w:numPr>
        <w:kinsoku/>
        <w:wordWrap/>
        <w:overflowPunct/>
        <w:topLinePunct w:val="0"/>
        <w:autoSpaceDE/>
        <w:autoSpaceDN/>
        <w:bidi w:val="0"/>
        <w:adjustRightInd/>
        <w:snapToGrid/>
        <w:spacing w:before="157" w:beforeLines="50"/>
        <w:ind w:left="0" w:leftChars="0" w:firstLine="0" w:firstLineChars="0"/>
        <w:jc w:val="both"/>
        <w:textAlignment w:val="auto"/>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合同签订流程</w:t>
      </w:r>
    </w:p>
    <w:p w14:paraId="1D82D928">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（一）校内合同签订流程</w:t>
      </w:r>
    </w:p>
    <w:p w14:paraId="6E4BEC4B">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基建处负责签订土地合作建设、建设工程设计、工程施工、工程监理、建筑材料及工程配套设备采购及其职能范围内有关合同的管理，开展合同的洽谈、起草和订立工作。根据合同金额、采购方式等办理合同，其中1 万元以上（含1万元）的维修工程</w:t>
      </w:r>
      <w:r>
        <w:rPr>
          <w:rFonts w:hint="default" w:ascii="仿宋" w:hAnsi="仿宋" w:eastAsia="仿宋" w:cs="仿宋"/>
          <w:sz w:val="28"/>
          <w:szCs w:val="36"/>
          <w:lang w:val="en-US" w:eastAsia="zh-CN"/>
        </w:rPr>
        <w:t>应采用纸质订立书面合同</w:t>
      </w:r>
      <w:r>
        <w:rPr>
          <w:rFonts w:hint="eastAsia" w:ascii="仿宋" w:hAnsi="仿宋" w:eastAsia="仿宋" w:cs="仿宋"/>
          <w:sz w:val="28"/>
          <w:szCs w:val="36"/>
          <w:lang w:val="en-US" w:eastAsia="zh-CN"/>
        </w:rPr>
        <w:t>；</w:t>
      </w:r>
      <w:r>
        <w:rPr>
          <w:rFonts w:hint="default" w:ascii="仿宋" w:hAnsi="仿宋" w:eastAsia="仿宋" w:cs="仿宋"/>
          <w:sz w:val="28"/>
          <w:szCs w:val="36"/>
          <w:lang w:val="en-US" w:eastAsia="zh-CN"/>
        </w:rPr>
        <w:t xml:space="preserve">其它合作事项，3 万元以上（含 3 万元）应采用纸质订立书面合同。 </w:t>
      </w:r>
      <w:r>
        <w:rPr>
          <w:rFonts w:hint="eastAsia" w:ascii="仿宋" w:hAnsi="仿宋" w:eastAsia="仿宋" w:cs="仿宋"/>
          <w:sz w:val="28"/>
          <w:szCs w:val="36"/>
          <w:lang w:val="en-US" w:eastAsia="zh-CN"/>
        </w:rPr>
        <w:t>主要的合同签订流程如下图：</w:t>
      </w:r>
    </w:p>
    <w:p w14:paraId="797D6A87">
      <w:pPr>
        <w:widowControl w:val="0"/>
        <w:numPr>
          <w:ilvl w:val="0"/>
          <w:numId w:val="0"/>
        </w:numPr>
        <w:jc w:val="both"/>
        <w:rPr>
          <w:rFonts w:hint="default" w:ascii="仿宋" w:hAnsi="仿宋" w:eastAsia="仿宋" w:cs="仿宋"/>
          <w:b/>
          <w:bCs/>
          <w:sz w:val="28"/>
          <w:szCs w:val="36"/>
          <w:lang w:val="en-US" w:eastAsia="zh-CN"/>
        </w:rPr>
      </w:pPr>
      <w:r>
        <w:rPr>
          <w:rFonts w:hint="default" w:ascii="仿宋" w:hAnsi="仿宋" w:eastAsia="仿宋" w:cs="仿宋"/>
          <w:b/>
          <w:bCs/>
          <w:sz w:val="28"/>
          <w:szCs w:val="36"/>
          <w:lang w:val="en-US" w:eastAsia="zh-CN"/>
        </w:rPr>
        <w:drawing>
          <wp:inline distT="0" distB="0" distL="114300" distR="114300">
            <wp:extent cx="5222240" cy="5269230"/>
            <wp:effectExtent l="0" t="0" r="16510" b="7620"/>
            <wp:docPr id="1" name="图片 1" descr="合同签订流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合同签订流程"/>
                    <pic:cNvPicPr>
                      <a:picLocks noChangeAspect="1"/>
                    </pic:cNvPicPr>
                  </pic:nvPicPr>
                  <pic:blipFill>
                    <a:blip r:embed="rId9"/>
                    <a:stretch>
                      <a:fillRect/>
                    </a:stretch>
                  </pic:blipFill>
                  <pic:spPr>
                    <a:xfrm>
                      <a:off x="0" y="0"/>
                      <a:ext cx="5222240" cy="5269230"/>
                    </a:xfrm>
                    <a:prstGeom prst="rect">
                      <a:avLst/>
                    </a:prstGeom>
                  </pic:spPr>
                </pic:pic>
              </a:graphicData>
            </a:graphic>
          </wp:inline>
        </w:drawing>
      </w:r>
    </w:p>
    <w:p w14:paraId="0F86549C">
      <w:pPr>
        <w:numPr>
          <w:ilvl w:val="0"/>
          <w:numId w:val="0"/>
        </w:numPr>
        <w:jc w:val="center"/>
        <w:rPr>
          <w:rFonts w:hint="default" w:ascii="楷体" w:hAnsi="楷体" w:eastAsia="楷体" w:cs="楷体"/>
          <w:b/>
          <w:bCs/>
          <w:sz w:val="24"/>
          <w:szCs w:val="32"/>
          <w:lang w:val="en-US" w:eastAsia="zh-CN"/>
        </w:rPr>
      </w:pPr>
      <w:r>
        <w:rPr>
          <w:rFonts w:hint="eastAsia" w:ascii="楷体" w:hAnsi="楷体" w:eastAsia="楷体" w:cs="楷体"/>
          <w:b/>
          <w:bCs/>
          <w:sz w:val="24"/>
          <w:szCs w:val="32"/>
          <w:lang w:val="en-US" w:eastAsia="zh-CN"/>
        </w:rPr>
        <w:t>合同签订流程</w:t>
      </w:r>
    </w:p>
    <w:p w14:paraId="19401DBB">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（二）合同签订前施工、服务单位需提供的材料：</w:t>
      </w:r>
    </w:p>
    <w:p w14:paraId="719A29E4">
      <w:pPr>
        <w:keepNext w:val="0"/>
        <w:keepLines w:val="0"/>
        <w:pageBreakBefore w:val="0"/>
        <w:widowControl/>
        <w:numPr>
          <w:ilvl w:val="0"/>
          <w:numId w:val="7"/>
        </w:numPr>
        <w:suppressLineNumbers w:val="0"/>
        <w:kinsoku/>
        <w:wordWrap/>
        <w:overflowPunct/>
        <w:topLinePunct w:val="0"/>
        <w:autoSpaceDE/>
        <w:autoSpaceDN/>
        <w:bidi w:val="0"/>
        <w:adjustRightInd/>
        <w:snapToGrid/>
        <w:ind w:left="0" w:leftChars="0"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履约保证金收据复印件1份（需盖企业公章），按招标文件要求缴纳转账后5个工作日内到基建处领取（原件企业自留，后期退款需使用）；</w:t>
      </w:r>
    </w:p>
    <w:p w14:paraId="5946F59A">
      <w:pPr>
        <w:keepNext w:val="0"/>
        <w:keepLines w:val="0"/>
        <w:pageBreakBefore w:val="0"/>
        <w:widowControl/>
        <w:numPr>
          <w:ilvl w:val="0"/>
          <w:numId w:val="7"/>
        </w:numPr>
        <w:suppressLineNumbers w:val="0"/>
        <w:kinsoku/>
        <w:wordWrap/>
        <w:overflowPunct/>
        <w:topLinePunct w:val="0"/>
        <w:autoSpaceDE/>
        <w:autoSpaceDN/>
        <w:bidi w:val="0"/>
        <w:adjustRightInd/>
        <w:snapToGrid/>
        <w:ind w:left="0" w:leftChars="0"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企业营业执照、法人授权书、法人和授权人的身份证复印件；</w:t>
      </w:r>
    </w:p>
    <w:p w14:paraId="465E279C">
      <w:pPr>
        <w:keepNext w:val="0"/>
        <w:keepLines w:val="0"/>
        <w:pageBreakBefore w:val="0"/>
        <w:widowControl/>
        <w:numPr>
          <w:ilvl w:val="0"/>
          <w:numId w:val="7"/>
        </w:numPr>
        <w:suppressLineNumbers w:val="0"/>
        <w:kinsoku/>
        <w:wordWrap/>
        <w:overflowPunct/>
        <w:topLinePunct w:val="0"/>
        <w:autoSpaceDE/>
        <w:autoSpaceDN/>
        <w:bidi w:val="0"/>
        <w:adjustRightInd/>
        <w:snapToGrid/>
        <w:ind w:left="0" w:leftChars="0"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廉洁承诺书2份：1式2份，中标公司法人或授权人签字、企业盖公章；</w:t>
      </w:r>
    </w:p>
    <w:p w14:paraId="21D25BCF">
      <w:pPr>
        <w:keepNext w:val="0"/>
        <w:keepLines w:val="0"/>
        <w:pageBreakBefore w:val="0"/>
        <w:widowControl/>
        <w:numPr>
          <w:ilvl w:val="0"/>
          <w:numId w:val="7"/>
        </w:numPr>
        <w:suppressLineNumbers w:val="0"/>
        <w:kinsoku/>
        <w:wordWrap/>
        <w:overflowPunct/>
        <w:topLinePunct w:val="0"/>
        <w:autoSpaceDE/>
        <w:autoSpaceDN/>
        <w:bidi w:val="0"/>
        <w:adjustRightInd/>
        <w:snapToGrid/>
        <w:ind w:left="0" w:leftChars="0"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经学校会签确认后，施工、服务单位签字盖章的合同(骑缝均需盖章）。</w:t>
      </w:r>
    </w:p>
    <w:p w14:paraId="268DDCA8">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default" w:ascii="仿宋" w:hAnsi="仿宋" w:eastAsia="仿宋" w:cs="仿宋"/>
          <w:b/>
          <w:bCs/>
          <w:sz w:val="28"/>
          <w:szCs w:val="36"/>
          <w:lang w:val="en-US" w:eastAsia="zh-CN"/>
        </w:rPr>
      </w:pPr>
      <w:r>
        <w:rPr>
          <w:rFonts w:hint="eastAsia" w:ascii="仿宋" w:hAnsi="仿宋" w:eastAsia="仿宋" w:cs="仿宋"/>
          <w:sz w:val="28"/>
          <w:szCs w:val="36"/>
          <w:lang w:val="en-US" w:eastAsia="zh-CN"/>
        </w:rPr>
        <w:t>上述材料中的第1项，若招标文件或合同中未要求可不提供。</w:t>
      </w:r>
    </w:p>
    <w:p w14:paraId="72A80935">
      <w:pPr>
        <w:keepNext w:val="0"/>
        <w:keepLines w:val="0"/>
        <w:pageBreakBefore w:val="0"/>
        <w:widowControl w:val="0"/>
        <w:numPr>
          <w:ilvl w:val="0"/>
          <w:numId w:val="1"/>
        </w:numPr>
        <w:kinsoku/>
        <w:wordWrap/>
        <w:overflowPunct/>
        <w:topLinePunct w:val="0"/>
        <w:autoSpaceDE/>
        <w:autoSpaceDN/>
        <w:bidi w:val="0"/>
        <w:adjustRightInd/>
        <w:snapToGrid/>
        <w:spacing w:before="157" w:beforeLines="50"/>
        <w:ind w:left="0" w:leftChars="0" w:firstLine="0" w:firstLineChars="0"/>
        <w:jc w:val="both"/>
        <w:textAlignment w:val="auto"/>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工程开工、竣工验收流程</w:t>
      </w:r>
    </w:p>
    <w:p w14:paraId="4B29562C">
      <w:pPr>
        <w:keepNext w:val="0"/>
        <w:keepLines w:val="0"/>
        <w:pageBreakBefore w:val="0"/>
        <w:widowControl/>
        <w:numPr>
          <w:ilvl w:val="0"/>
          <w:numId w:val="8"/>
        </w:numPr>
        <w:suppressLineNumbers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工程开工</w:t>
      </w:r>
    </w:p>
    <w:p w14:paraId="450EC01F">
      <w:pPr>
        <w:keepNext w:val="0"/>
        <w:keepLines w:val="0"/>
        <w:pageBreakBefore w:val="0"/>
        <w:kinsoku/>
        <w:wordWrap/>
        <w:overflowPunct/>
        <w:topLinePunct w:val="0"/>
        <w:autoSpaceDE/>
        <w:autoSpaceDN/>
        <w:bidi w:val="0"/>
        <w:adjustRightInd/>
        <w:snapToGrid/>
        <w:ind w:firstLine="560" w:firstLineChars="200"/>
        <w:jc w:val="left"/>
        <w:textAlignment w:val="auto"/>
        <w:rPr>
          <w:rFonts w:hint="default" w:ascii="仿宋" w:hAnsi="仿宋" w:eastAsia="仿宋" w:cs="仿宋"/>
          <w:b/>
          <w:bCs/>
          <w:i w:val="0"/>
          <w:iCs w:val="0"/>
          <w:caps w:val="0"/>
          <w:color w:val="191919"/>
          <w:spacing w:val="0"/>
          <w:sz w:val="28"/>
          <w:szCs w:val="28"/>
          <w:shd w:val="clear" w:color="auto" w:fill="FFFFFF"/>
          <w:lang w:val="en-US"/>
        </w:rPr>
      </w:pPr>
      <w:r>
        <w:rPr>
          <w:rFonts w:hint="eastAsia" w:ascii="仿宋" w:hAnsi="仿宋" w:eastAsia="仿宋" w:cs="仿宋"/>
          <w:i w:val="0"/>
          <w:iCs w:val="0"/>
          <w:caps w:val="0"/>
          <w:color w:val="191919"/>
          <w:spacing w:val="0"/>
          <w:sz w:val="28"/>
          <w:szCs w:val="28"/>
          <w:shd w:val="clear" w:color="auto" w:fill="FFFFFF"/>
          <w:lang w:val="en-US" w:eastAsia="zh-CN"/>
        </w:rPr>
        <w:t>开工令是由建设单位或总监下达的允许开工的书面文件，开工令签发的日期即为工程的实际开工日期。开工令是结算和竣工验收报告中计算工期的起点和完工时间的依据。</w:t>
      </w:r>
    </w:p>
    <w:p w14:paraId="19B23C2A">
      <w:pPr>
        <w:keepNext w:val="0"/>
        <w:keepLines w:val="0"/>
        <w:pageBreakBefore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工程签订合同后，施工单位进场前，由现场负责人或监理单位根据合同要求开具</w:t>
      </w:r>
      <w:r>
        <w:rPr>
          <w:rFonts w:hint="eastAsia" w:ascii="仿宋" w:hAnsi="仿宋" w:eastAsia="仿宋" w:cs="仿宋"/>
          <w:b/>
          <w:bCs/>
          <w:sz w:val="28"/>
          <w:szCs w:val="36"/>
          <w:lang w:val="en-US" w:eastAsia="zh-CN"/>
        </w:rPr>
        <w:t>《工程开工令》（附件7）</w:t>
      </w:r>
      <w:r>
        <w:rPr>
          <w:rFonts w:hint="eastAsia" w:ascii="仿宋" w:hAnsi="仿宋" w:eastAsia="仿宋" w:cs="仿宋"/>
          <w:sz w:val="28"/>
          <w:szCs w:val="36"/>
          <w:lang w:val="en-US" w:eastAsia="zh-CN"/>
        </w:rPr>
        <w:t>给施工单位，双方签字盖章，各留存一份原件，并提供开工令复印件一份给审计处，用于项目过程监督。</w:t>
      </w:r>
    </w:p>
    <w:p w14:paraId="43B13515">
      <w:pPr>
        <w:keepNext w:val="0"/>
        <w:keepLines w:val="0"/>
        <w:pageBreakBefore w:val="0"/>
        <w:widowControl/>
        <w:numPr>
          <w:ilvl w:val="0"/>
          <w:numId w:val="8"/>
        </w:numPr>
        <w:suppressLineNumbers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工程竣工</w:t>
      </w:r>
    </w:p>
    <w:p w14:paraId="7FB5430D">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工程完工后，经基建处自检合格，由基建处联系用户、审计处、计划财务处、国有资产管理处等部门</w:t>
      </w:r>
      <w:r>
        <w:rPr>
          <w:rFonts w:hint="eastAsia" w:ascii="仿宋" w:hAnsi="仿宋" w:eastAsia="仿宋" w:cs="仿宋"/>
          <w:sz w:val="28"/>
          <w:szCs w:val="36"/>
          <w:lang w:val="en-US" w:eastAsia="zh-CN"/>
        </w:rPr>
        <w:t>主要</w:t>
      </w:r>
      <w:r>
        <w:rPr>
          <w:rFonts w:hint="eastAsia" w:ascii="仿宋" w:hAnsi="仿宋" w:eastAsia="仿宋" w:cs="仿宋"/>
          <w:b w:val="0"/>
          <w:bCs w:val="0"/>
          <w:sz w:val="28"/>
          <w:szCs w:val="36"/>
          <w:lang w:val="en-US" w:eastAsia="zh-CN"/>
        </w:rPr>
        <w:t>负责人确定竣工验收时间、流程。竣工验收前，施工单位需在竣工验收前1个工作日内，提供招投标文件（含投标报价）、合同、施工图和竣工图等资料电子版与纸质版给基建处。</w:t>
      </w:r>
    </w:p>
    <w:p w14:paraId="21BDE9E3">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b w:val="0"/>
          <w:bCs w:val="0"/>
          <w:sz w:val="28"/>
          <w:szCs w:val="36"/>
          <w:lang w:val="en-US" w:eastAsia="zh-CN"/>
        </w:rPr>
        <w:t>竣工验收经验收小组讨论通过后，填报</w:t>
      </w:r>
      <w:r>
        <w:rPr>
          <w:rFonts w:hint="eastAsia" w:ascii="仿宋" w:hAnsi="仿宋" w:eastAsia="仿宋" w:cs="仿宋"/>
          <w:b/>
          <w:bCs/>
          <w:sz w:val="28"/>
          <w:szCs w:val="36"/>
          <w:lang w:val="en-US" w:eastAsia="zh-CN"/>
        </w:rPr>
        <w:t>《竣工验收报告》（附件8）</w:t>
      </w:r>
      <w:r>
        <w:rPr>
          <w:rFonts w:hint="eastAsia" w:ascii="仿宋" w:hAnsi="仿宋" w:eastAsia="仿宋" w:cs="仿宋"/>
          <w:sz w:val="28"/>
          <w:szCs w:val="36"/>
          <w:lang w:val="en-US" w:eastAsia="zh-CN"/>
        </w:rPr>
        <w:t>一式四份，基建处、施工单位各留存两份。若验收未通过，则由施工单位整改到位后再重新组织验收。</w:t>
      </w:r>
    </w:p>
    <w:p w14:paraId="257A25DC">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隐蔽工程验收为对将被其后工程施工所隐蔽的分项、分部工程，在隐蔽前所进行的检查验收。由</w:t>
      </w:r>
      <w:r>
        <w:rPr>
          <w:rFonts w:hint="eastAsia" w:ascii="仿宋" w:hAnsi="仿宋" w:eastAsia="仿宋" w:cs="仿宋"/>
          <w:b w:val="0"/>
          <w:bCs w:val="0"/>
          <w:sz w:val="28"/>
          <w:szCs w:val="36"/>
          <w:lang w:val="en-US" w:eastAsia="zh-CN"/>
        </w:rPr>
        <w:t>基建处联系审计处</w:t>
      </w:r>
      <w:r>
        <w:rPr>
          <w:rFonts w:hint="eastAsia" w:ascii="仿宋" w:hAnsi="仿宋" w:eastAsia="仿宋" w:cs="仿宋"/>
          <w:sz w:val="28"/>
          <w:szCs w:val="36"/>
          <w:lang w:val="en-US" w:eastAsia="zh-CN"/>
        </w:rPr>
        <w:t>主要</w:t>
      </w:r>
      <w:r>
        <w:rPr>
          <w:rFonts w:hint="eastAsia" w:ascii="仿宋" w:hAnsi="仿宋" w:eastAsia="仿宋" w:cs="仿宋"/>
          <w:b w:val="0"/>
          <w:bCs w:val="0"/>
          <w:sz w:val="28"/>
          <w:szCs w:val="36"/>
          <w:lang w:val="en-US" w:eastAsia="zh-CN"/>
        </w:rPr>
        <w:t>负责人确定竣工验收时间、流程。验收通过后，</w:t>
      </w:r>
      <w:r>
        <w:rPr>
          <w:rFonts w:hint="eastAsia" w:ascii="仿宋" w:hAnsi="仿宋" w:eastAsia="仿宋" w:cs="仿宋"/>
          <w:b w:val="0"/>
          <w:bCs w:val="0"/>
          <w:color w:val="auto"/>
          <w:sz w:val="28"/>
          <w:szCs w:val="36"/>
          <w:lang w:val="en-US" w:eastAsia="zh-CN"/>
        </w:rPr>
        <w:t>填报</w:t>
      </w:r>
      <w:r>
        <w:rPr>
          <w:rFonts w:hint="eastAsia" w:ascii="仿宋" w:hAnsi="仿宋" w:eastAsia="仿宋" w:cs="仿宋"/>
          <w:b/>
          <w:bCs/>
          <w:color w:val="auto"/>
          <w:sz w:val="28"/>
          <w:szCs w:val="36"/>
          <w:lang w:val="en-US" w:eastAsia="zh-CN"/>
        </w:rPr>
        <w:t>《隐蔽工程验收单》（附件9）</w:t>
      </w:r>
      <w:r>
        <w:rPr>
          <w:rFonts w:hint="eastAsia" w:ascii="仿宋" w:hAnsi="仿宋" w:eastAsia="仿宋" w:cs="仿宋"/>
          <w:color w:val="auto"/>
          <w:sz w:val="28"/>
          <w:szCs w:val="36"/>
          <w:lang w:val="en-US" w:eastAsia="zh-CN"/>
        </w:rPr>
        <w:t>；未经验收或验收不合格不能进行下一道工序的施工。</w:t>
      </w:r>
      <w:bookmarkStart w:id="0" w:name="_GoBack"/>
      <w:bookmarkEnd w:id="0"/>
    </w:p>
    <w:p w14:paraId="75FBF6A1">
      <w:pPr>
        <w:keepNext w:val="0"/>
        <w:keepLines w:val="0"/>
        <w:pageBreakBefore w:val="0"/>
        <w:widowControl w:val="0"/>
        <w:numPr>
          <w:ilvl w:val="0"/>
          <w:numId w:val="1"/>
        </w:numPr>
        <w:kinsoku/>
        <w:wordWrap/>
        <w:overflowPunct/>
        <w:topLinePunct w:val="0"/>
        <w:autoSpaceDE/>
        <w:autoSpaceDN/>
        <w:bidi w:val="0"/>
        <w:adjustRightInd/>
        <w:snapToGrid/>
        <w:spacing w:before="157" w:beforeLines="50"/>
        <w:ind w:left="0" w:leftChars="0" w:firstLine="0" w:firstLineChars="0"/>
        <w:jc w:val="both"/>
        <w:textAlignment w:val="auto"/>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工程结算流程</w:t>
      </w:r>
    </w:p>
    <w:p w14:paraId="5120E9FB">
      <w:pPr>
        <w:widowControl w:val="0"/>
        <w:numPr>
          <w:ilvl w:val="0"/>
          <w:numId w:val="9"/>
        </w:numPr>
        <w:jc w:val="both"/>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工程结算的主要流程</w:t>
      </w:r>
    </w:p>
    <w:p w14:paraId="36BFCC06">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工程结算所需的结算资料由施工单位提供，项目相关的立项材料由基建处负责提供。对于合同金额超过400万的项目，需按财政厅的相关要求报送上级主管部门结算评审。一般结算主要流程如下：</w:t>
      </w:r>
    </w:p>
    <w:p w14:paraId="439FC6B4">
      <w:pPr>
        <w:numPr>
          <w:ilvl w:val="0"/>
          <w:numId w:val="0"/>
        </w:numPr>
        <w:jc w:val="center"/>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drawing>
          <wp:inline distT="0" distB="0" distL="114300" distR="114300">
            <wp:extent cx="2060575" cy="5711190"/>
            <wp:effectExtent l="0" t="0" r="15875" b="3810"/>
            <wp:docPr id="2" name="图片 2" descr="结算流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结算流程"/>
                    <pic:cNvPicPr>
                      <a:picLocks noChangeAspect="1"/>
                    </pic:cNvPicPr>
                  </pic:nvPicPr>
                  <pic:blipFill>
                    <a:blip r:embed="rId10"/>
                    <a:srcRect t="1821" r="1103" b="2010"/>
                    <a:stretch>
                      <a:fillRect/>
                    </a:stretch>
                  </pic:blipFill>
                  <pic:spPr>
                    <a:xfrm>
                      <a:off x="0" y="0"/>
                      <a:ext cx="2060575" cy="5711190"/>
                    </a:xfrm>
                    <a:prstGeom prst="rect">
                      <a:avLst/>
                    </a:prstGeom>
                  </pic:spPr>
                </pic:pic>
              </a:graphicData>
            </a:graphic>
          </wp:inline>
        </w:drawing>
      </w:r>
    </w:p>
    <w:p w14:paraId="2377EB77">
      <w:pPr>
        <w:numPr>
          <w:ilvl w:val="0"/>
          <w:numId w:val="0"/>
        </w:numPr>
        <w:jc w:val="center"/>
        <w:rPr>
          <w:rFonts w:hint="eastAsia" w:ascii="楷体" w:hAnsi="楷体" w:eastAsia="楷体" w:cs="楷体"/>
          <w:b/>
          <w:bCs/>
          <w:sz w:val="24"/>
          <w:szCs w:val="32"/>
          <w:lang w:val="en-US" w:eastAsia="zh-CN"/>
        </w:rPr>
      </w:pPr>
      <w:r>
        <w:rPr>
          <w:rFonts w:hint="eastAsia" w:ascii="楷体" w:hAnsi="楷体" w:eastAsia="楷体" w:cs="楷体"/>
          <w:b/>
          <w:bCs/>
          <w:sz w:val="24"/>
          <w:szCs w:val="32"/>
          <w:lang w:val="en-US" w:eastAsia="zh-CN"/>
        </w:rPr>
        <w:t>结算流程</w:t>
      </w:r>
    </w:p>
    <w:p w14:paraId="1C252CC3">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default" w:ascii="仿宋" w:hAnsi="仿宋" w:eastAsia="仿宋" w:cs="仿宋"/>
          <w:b w:val="0"/>
          <w:bCs w:val="0"/>
          <w:sz w:val="28"/>
          <w:szCs w:val="36"/>
          <w:lang w:val="en-US" w:eastAsia="zh-CN"/>
        </w:rPr>
      </w:pPr>
    </w:p>
    <w:p w14:paraId="08C8C54C">
      <w:pPr>
        <w:widowControl w:val="0"/>
        <w:numPr>
          <w:ilvl w:val="0"/>
          <w:numId w:val="9"/>
        </w:numPr>
        <w:jc w:val="both"/>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工程结算需提供的材料</w:t>
      </w:r>
    </w:p>
    <w:p w14:paraId="7FAB7757">
      <w:pPr>
        <w:keepNext w:val="0"/>
        <w:keepLines w:val="0"/>
        <w:pageBreakBefore w:val="0"/>
        <w:widowControl/>
        <w:numPr>
          <w:ilvl w:val="0"/>
          <w:numId w:val="10"/>
        </w:numPr>
        <w:suppressLineNumbers w:val="0"/>
        <w:kinsoku/>
        <w:wordWrap/>
        <w:overflowPunct/>
        <w:topLinePunct w:val="0"/>
        <w:autoSpaceDE/>
        <w:autoSpaceDN/>
        <w:bidi w:val="0"/>
        <w:adjustRightInd/>
        <w:snapToGrid/>
        <w:ind w:left="0" w:leftChars="0"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施工合同及补充协议；</w:t>
      </w:r>
    </w:p>
    <w:p w14:paraId="0DE9FA30">
      <w:pPr>
        <w:keepNext w:val="0"/>
        <w:keepLines w:val="0"/>
        <w:pageBreakBefore w:val="0"/>
        <w:widowControl/>
        <w:numPr>
          <w:ilvl w:val="0"/>
          <w:numId w:val="10"/>
        </w:numPr>
        <w:suppressLineNumbers w:val="0"/>
        <w:kinsoku/>
        <w:wordWrap/>
        <w:overflowPunct/>
        <w:topLinePunct w:val="0"/>
        <w:autoSpaceDE/>
        <w:autoSpaceDN/>
        <w:bidi w:val="0"/>
        <w:adjustRightInd/>
        <w:snapToGrid/>
        <w:ind w:left="0" w:leftChars="0"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招标文件；投标文件(含电子版)；招标答疑；中标通知书；</w:t>
      </w:r>
    </w:p>
    <w:p w14:paraId="2E0ADD43">
      <w:pPr>
        <w:keepNext w:val="0"/>
        <w:keepLines w:val="0"/>
        <w:pageBreakBefore w:val="0"/>
        <w:widowControl/>
        <w:numPr>
          <w:ilvl w:val="0"/>
          <w:numId w:val="10"/>
        </w:numPr>
        <w:suppressLineNumbers w:val="0"/>
        <w:kinsoku/>
        <w:wordWrap/>
        <w:overflowPunct/>
        <w:topLinePunct w:val="0"/>
        <w:autoSpaceDE/>
        <w:autoSpaceDN/>
        <w:bidi w:val="0"/>
        <w:adjustRightInd/>
        <w:snapToGrid/>
        <w:ind w:left="0" w:leftChars="0"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工程开工令、隐蔽工程验收记录、单位和工程竣工验收报告（要有甲方对工程是否合格的明确意见）；</w:t>
      </w:r>
    </w:p>
    <w:p w14:paraId="69135DAD">
      <w:pPr>
        <w:keepNext w:val="0"/>
        <w:keepLines w:val="0"/>
        <w:pageBreakBefore w:val="0"/>
        <w:widowControl/>
        <w:numPr>
          <w:ilvl w:val="0"/>
          <w:numId w:val="10"/>
        </w:numPr>
        <w:suppressLineNumbers w:val="0"/>
        <w:kinsoku/>
        <w:wordWrap/>
        <w:overflowPunct/>
        <w:topLinePunct w:val="0"/>
        <w:autoSpaceDE/>
        <w:autoSpaceDN/>
        <w:bidi w:val="0"/>
        <w:adjustRightInd/>
        <w:snapToGrid/>
        <w:ind w:left="0" w:leftChars="0"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施工图纸、竣工图纸；图纸会审纪要；</w:t>
      </w:r>
    </w:p>
    <w:p w14:paraId="007E306A">
      <w:pPr>
        <w:keepNext w:val="0"/>
        <w:keepLines w:val="0"/>
        <w:pageBreakBefore w:val="0"/>
        <w:widowControl/>
        <w:numPr>
          <w:ilvl w:val="0"/>
          <w:numId w:val="10"/>
        </w:numPr>
        <w:suppressLineNumbers w:val="0"/>
        <w:kinsoku/>
        <w:wordWrap/>
        <w:overflowPunct/>
        <w:topLinePunct w:val="0"/>
        <w:autoSpaceDE/>
        <w:autoSpaceDN/>
        <w:bidi w:val="0"/>
        <w:adjustRightInd/>
        <w:snapToGrid/>
        <w:ind w:left="0" w:leftChars="0"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招标工程量清单；投标报价；施工单位报送的竣工结算；工程量计算底稿；</w:t>
      </w:r>
    </w:p>
    <w:p w14:paraId="7D6C6308">
      <w:pPr>
        <w:keepNext w:val="0"/>
        <w:keepLines w:val="0"/>
        <w:pageBreakBefore w:val="0"/>
        <w:widowControl/>
        <w:numPr>
          <w:ilvl w:val="0"/>
          <w:numId w:val="10"/>
        </w:numPr>
        <w:suppressLineNumbers w:val="0"/>
        <w:kinsoku/>
        <w:wordWrap/>
        <w:overflowPunct/>
        <w:topLinePunct w:val="0"/>
        <w:autoSpaceDE/>
        <w:autoSpaceDN/>
        <w:bidi w:val="0"/>
        <w:adjustRightInd/>
        <w:snapToGrid/>
        <w:ind w:left="0" w:leftChars="0"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工作联系单、工程设计变更单、工程签证单、技术核定单、材料定牌定价单、洽商记录等；</w:t>
      </w:r>
    </w:p>
    <w:p w14:paraId="70FDD01F">
      <w:pPr>
        <w:keepNext w:val="0"/>
        <w:keepLines w:val="0"/>
        <w:pageBreakBefore w:val="0"/>
        <w:widowControl/>
        <w:numPr>
          <w:ilvl w:val="0"/>
          <w:numId w:val="10"/>
        </w:numPr>
        <w:suppressLineNumbers w:val="0"/>
        <w:kinsoku/>
        <w:wordWrap/>
        <w:overflowPunct/>
        <w:topLinePunct w:val="0"/>
        <w:autoSpaceDE/>
        <w:autoSpaceDN/>
        <w:bidi w:val="0"/>
        <w:adjustRightInd/>
        <w:snapToGrid/>
        <w:ind w:left="0" w:leftChars="0"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施工材料检测报告等工程质量控制资料等；</w:t>
      </w:r>
    </w:p>
    <w:p w14:paraId="0A0929F4">
      <w:pPr>
        <w:keepNext w:val="0"/>
        <w:keepLines w:val="0"/>
        <w:pageBreakBefore w:val="0"/>
        <w:widowControl/>
        <w:numPr>
          <w:ilvl w:val="0"/>
          <w:numId w:val="10"/>
        </w:numPr>
        <w:suppressLineNumbers w:val="0"/>
        <w:kinsoku/>
        <w:wordWrap/>
        <w:overflowPunct/>
        <w:topLinePunct w:val="0"/>
        <w:autoSpaceDE/>
        <w:autoSpaceDN/>
        <w:bidi w:val="0"/>
        <w:adjustRightInd/>
        <w:snapToGrid/>
        <w:ind w:left="0" w:leftChars="0"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其它资料。</w:t>
      </w:r>
    </w:p>
    <w:p w14:paraId="4C44F1F8">
      <w:pPr>
        <w:jc w:val="left"/>
        <w:rPr>
          <w:rFonts w:hint="eastAsia" w:ascii="仿宋" w:hAnsi="仿宋" w:eastAsia="仿宋" w:cs="仿宋"/>
          <w:sz w:val="28"/>
          <w:szCs w:val="28"/>
        </w:rPr>
      </w:pPr>
      <w:r>
        <w:rPr>
          <w:rFonts w:hint="eastAsia" w:ascii="仿宋" w:hAnsi="仿宋" w:eastAsia="仿宋" w:cs="仿宋"/>
          <w:sz w:val="28"/>
          <w:szCs w:val="28"/>
        </w:rPr>
        <w:t>说明：1）所有资料一式二份，至少一份原件；</w:t>
      </w:r>
    </w:p>
    <w:p w14:paraId="542FED41">
      <w:pPr>
        <w:numPr>
          <w:ilvl w:val="0"/>
          <w:numId w:val="11"/>
        </w:numPr>
        <w:ind w:left="840" w:leftChars="0" w:firstLine="0" w:firstLineChars="0"/>
        <w:rPr>
          <w:rFonts w:hint="eastAsia" w:ascii="仿宋" w:hAnsi="仿宋" w:eastAsia="仿宋" w:cs="仿宋"/>
          <w:sz w:val="28"/>
          <w:szCs w:val="28"/>
          <w:lang w:val="en-US" w:eastAsia="zh-CN"/>
        </w:rPr>
      </w:pPr>
      <w:r>
        <w:rPr>
          <w:rFonts w:hint="eastAsia" w:ascii="仿宋" w:hAnsi="仿宋" w:eastAsia="仿宋" w:cs="仿宋"/>
          <w:sz w:val="28"/>
          <w:szCs w:val="28"/>
        </w:rPr>
        <w:t>主体工程按以上清单提供资料，分包工程、甲供材等对照此清单提供</w:t>
      </w:r>
      <w:r>
        <w:rPr>
          <w:rFonts w:hint="eastAsia" w:ascii="仿宋" w:hAnsi="仿宋" w:eastAsia="仿宋" w:cs="仿宋"/>
          <w:sz w:val="28"/>
          <w:szCs w:val="28"/>
          <w:lang w:eastAsia="zh-CN"/>
        </w:rPr>
        <w:t>；</w:t>
      </w:r>
    </w:p>
    <w:p w14:paraId="74FEFD47">
      <w:pPr>
        <w:numPr>
          <w:ilvl w:val="0"/>
          <w:numId w:val="11"/>
        </w:numPr>
        <w:ind w:left="840" w:leftChars="0" w:firstLine="0" w:firstLineChars="0"/>
        <w:rPr>
          <w:rFonts w:hint="eastAsia" w:ascii="仿宋" w:hAnsi="仿宋" w:eastAsia="仿宋" w:cs="仿宋"/>
          <w:sz w:val="28"/>
          <w:szCs w:val="28"/>
          <w:lang w:val="en-US" w:eastAsia="zh-CN"/>
        </w:rPr>
      </w:pPr>
      <w:r>
        <w:rPr>
          <w:rFonts w:hint="eastAsia" w:ascii="仿宋" w:hAnsi="仿宋" w:eastAsia="仿宋" w:cs="仿宋"/>
          <w:sz w:val="28"/>
          <w:szCs w:val="28"/>
          <w:lang w:eastAsia="zh-CN"/>
        </w:rPr>
        <w:t>工程项目相关立项材料由基建处提供。</w:t>
      </w:r>
    </w:p>
    <w:p w14:paraId="184DF731">
      <w:pPr>
        <w:numPr>
          <w:ilvl w:val="0"/>
          <w:numId w:val="0"/>
        </w:numPr>
        <w:ind w:left="840" w:leftChars="0"/>
        <w:rPr>
          <w:rFonts w:hint="eastAsia" w:ascii="楷体" w:hAnsi="楷体" w:eastAsia="楷体" w:cs="楷体"/>
          <w:sz w:val="24"/>
          <w:szCs w:val="24"/>
          <w:lang w:val="en-US" w:eastAsia="zh-CN"/>
        </w:rPr>
      </w:pPr>
    </w:p>
    <w:p w14:paraId="1D550730">
      <w:pPr>
        <w:widowControl w:val="0"/>
        <w:numPr>
          <w:ilvl w:val="0"/>
          <w:numId w:val="1"/>
        </w:numPr>
        <w:ind w:left="0" w:leftChars="0" w:firstLine="0" w:firstLineChars="0"/>
        <w:jc w:val="both"/>
        <w:rPr>
          <w:rFonts w:hint="default" w:ascii="仿宋" w:hAnsi="仿宋" w:eastAsia="仿宋" w:cs="仿宋"/>
          <w:b/>
          <w:bCs/>
          <w:sz w:val="28"/>
          <w:szCs w:val="36"/>
          <w:lang w:val="en-US" w:eastAsia="zh-CN"/>
        </w:rPr>
      </w:pPr>
      <w:r>
        <w:rPr>
          <w:rFonts w:hint="eastAsia" w:ascii="仿宋" w:hAnsi="仿宋" w:eastAsia="仿宋" w:cs="仿宋"/>
          <w:b/>
          <w:bCs/>
          <w:sz w:val="28"/>
          <w:szCs w:val="36"/>
          <w:lang w:val="en-US" w:eastAsia="zh-CN"/>
        </w:rPr>
        <w:t>工程款支付及保证金缴退流程</w:t>
      </w:r>
    </w:p>
    <w:p w14:paraId="5E3063A8">
      <w:pPr>
        <w:widowControl w:val="0"/>
        <w:numPr>
          <w:ilvl w:val="0"/>
          <w:numId w:val="12"/>
        </w:numPr>
        <w:jc w:val="both"/>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履约保证金和质保金缴退流程</w:t>
      </w:r>
    </w:p>
    <w:p w14:paraId="096C1C22">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根据招投标文件和合同约定，在项目合同签订前或最后一次工程款支付前需由中标单位缴纳履约保证金或质保金到学校指定账户，如果为现金转账缴纳，缴纳后由施工单位提供转账凭证后，3个工作日内到基建处合同与造价管理科领取履约保证金或质保金收据原件。</w:t>
      </w:r>
    </w:p>
    <w:p w14:paraId="27AA43D6">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工程项目竣工验收或工程质保期到期，需退履约保证金和质保金，中标单位均需提供的材料：</w:t>
      </w:r>
      <w:r>
        <w:rPr>
          <w:rFonts w:hint="eastAsia" w:ascii="微软雅黑" w:hAnsi="微软雅黑" w:eastAsia="微软雅黑" w:cs="微软雅黑"/>
          <w:b/>
          <w:bCs/>
          <w:kern w:val="2"/>
          <w:sz w:val="28"/>
          <w:szCs w:val="36"/>
          <w:lang w:val="en-US" w:eastAsia="zh-CN" w:bidi="ar-SA"/>
        </w:rPr>
        <w:t>①</w:t>
      </w:r>
      <w:r>
        <w:rPr>
          <w:rFonts w:hint="eastAsia" w:ascii="仿宋" w:hAnsi="仿宋" w:eastAsia="仿宋" w:cs="仿宋"/>
          <w:b/>
          <w:bCs/>
          <w:sz w:val="28"/>
          <w:szCs w:val="36"/>
          <w:lang w:val="en-US" w:eastAsia="zh-CN"/>
        </w:rPr>
        <w:t>收据原件</w:t>
      </w:r>
      <w:r>
        <w:rPr>
          <w:rFonts w:hint="eastAsia" w:ascii="微软雅黑" w:hAnsi="微软雅黑" w:eastAsia="微软雅黑" w:cs="微软雅黑"/>
          <w:b/>
          <w:bCs/>
          <w:kern w:val="2"/>
          <w:sz w:val="28"/>
          <w:szCs w:val="36"/>
          <w:lang w:val="en-US" w:eastAsia="zh-CN" w:bidi="ar-SA"/>
        </w:rPr>
        <w:t>②</w:t>
      </w:r>
      <w:r>
        <w:rPr>
          <w:rFonts w:hint="eastAsia" w:ascii="仿宋" w:hAnsi="仿宋" w:eastAsia="仿宋" w:cs="仿宋"/>
          <w:b/>
          <w:bCs/>
          <w:sz w:val="28"/>
          <w:szCs w:val="36"/>
          <w:lang w:val="en-US" w:eastAsia="zh-CN"/>
        </w:rPr>
        <w:t>保证金支付申请单（参考附件9/附件10）③工程竣工验收报告复印件④合同复印件；</w:t>
      </w:r>
      <w:r>
        <w:rPr>
          <w:rFonts w:hint="eastAsia" w:ascii="仿宋" w:hAnsi="仿宋" w:eastAsia="仿宋" w:cs="仿宋"/>
          <w:b w:val="0"/>
          <w:bCs w:val="0"/>
          <w:sz w:val="28"/>
          <w:szCs w:val="36"/>
          <w:lang w:val="en-US" w:eastAsia="zh-CN"/>
        </w:rPr>
        <w:t>其中收据原件需要申报单位经办人、负责人及基建处分管处领导审批签字后由基建处办理退款事宜。</w:t>
      </w:r>
    </w:p>
    <w:p w14:paraId="67B77DBB">
      <w:pPr>
        <w:widowControl w:val="0"/>
        <w:numPr>
          <w:ilvl w:val="0"/>
          <w:numId w:val="12"/>
        </w:numPr>
        <w:jc w:val="both"/>
        <w:rPr>
          <w:rFonts w:hint="default" w:ascii="仿宋" w:hAnsi="仿宋" w:eastAsia="仿宋" w:cs="仿宋"/>
          <w:b/>
          <w:bCs/>
          <w:sz w:val="28"/>
          <w:szCs w:val="36"/>
          <w:lang w:val="en-US" w:eastAsia="zh-CN"/>
        </w:rPr>
      </w:pPr>
      <w:r>
        <w:rPr>
          <w:rFonts w:hint="eastAsia" w:ascii="仿宋" w:hAnsi="仿宋" w:eastAsia="仿宋" w:cs="仿宋"/>
          <w:b/>
          <w:bCs/>
          <w:sz w:val="28"/>
          <w:szCs w:val="36"/>
          <w:lang w:val="en-US" w:eastAsia="zh-CN"/>
        </w:rPr>
        <w:t>工程款支付流程</w:t>
      </w:r>
    </w:p>
    <w:p w14:paraId="615D3A71">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中标单位依据合同约定向学校申请付款，并按要求提供相应的付款材料，经用户单位负责人及现场负责人审核签字后，报基建处审核办理相关付款流程。</w:t>
      </w:r>
    </w:p>
    <w:p w14:paraId="15C26D48">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eastAsia" w:ascii="仿宋" w:hAnsi="仿宋" w:eastAsia="仿宋" w:cs="仿宋"/>
          <w:b w:val="0"/>
          <w:bCs w:val="0"/>
          <w:kern w:val="2"/>
          <w:sz w:val="28"/>
          <w:szCs w:val="36"/>
          <w:lang w:val="en-US" w:eastAsia="zh-CN" w:bidi="ar-SA"/>
        </w:rPr>
      </w:pPr>
      <w:r>
        <w:rPr>
          <w:rFonts w:hint="eastAsia" w:ascii="仿宋" w:hAnsi="仿宋" w:eastAsia="仿宋" w:cs="仿宋"/>
          <w:b w:val="0"/>
          <w:bCs w:val="0"/>
          <w:kern w:val="2"/>
          <w:sz w:val="28"/>
          <w:szCs w:val="36"/>
          <w:lang w:val="en-US" w:eastAsia="zh-CN" w:bidi="ar-SA"/>
        </w:rPr>
        <w:t>付款需提供</w:t>
      </w:r>
      <w:r>
        <w:rPr>
          <w:rFonts w:hint="eastAsia" w:ascii="仿宋" w:hAnsi="仿宋" w:eastAsia="仿宋" w:cs="仿宋"/>
          <w:b w:val="0"/>
          <w:bCs w:val="0"/>
          <w:sz w:val="28"/>
          <w:szCs w:val="36"/>
          <w:lang w:val="en-US" w:eastAsia="zh-CN"/>
        </w:rPr>
        <w:t>的材料</w:t>
      </w:r>
      <w:r>
        <w:rPr>
          <w:rFonts w:hint="eastAsia" w:ascii="仿宋" w:hAnsi="仿宋" w:eastAsia="仿宋" w:cs="仿宋"/>
          <w:b w:val="0"/>
          <w:bCs w:val="0"/>
          <w:kern w:val="2"/>
          <w:sz w:val="28"/>
          <w:szCs w:val="36"/>
          <w:lang w:val="en-US" w:eastAsia="zh-CN" w:bidi="ar-SA"/>
        </w:rPr>
        <w:t>：</w:t>
      </w:r>
      <w:r>
        <w:rPr>
          <w:rFonts w:hint="eastAsia" w:ascii="微软雅黑" w:hAnsi="微软雅黑" w:eastAsia="微软雅黑" w:cs="微软雅黑"/>
          <w:b/>
          <w:bCs/>
          <w:kern w:val="2"/>
          <w:sz w:val="28"/>
          <w:szCs w:val="36"/>
          <w:lang w:val="en-US" w:eastAsia="zh-CN" w:bidi="ar-SA"/>
        </w:rPr>
        <w:t>①</w:t>
      </w:r>
      <w:r>
        <w:rPr>
          <w:rFonts w:hint="eastAsia" w:ascii="仿宋" w:hAnsi="仿宋" w:eastAsia="仿宋" w:cs="仿宋"/>
          <w:b/>
          <w:bCs/>
          <w:kern w:val="2"/>
          <w:sz w:val="28"/>
          <w:szCs w:val="36"/>
          <w:lang w:val="en-US" w:eastAsia="zh-CN" w:bidi="ar-SA"/>
        </w:rPr>
        <w:t>合法的发票</w:t>
      </w:r>
      <w:r>
        <w:rPr>
          <w:rFonts w:hint="eastAsia" w:ascii="微软雅黑" w:hAnsi="微软雅黑" w:eastAsia="微软雅黑" w:cs="微软雅黑"/>
          <w:b/>
          <w:bCs/>
          <w:kern w:val="2"/>
          <w:sz w:val="28"/>
          <w:szCs w:val="36"/>
          <w:lang w:val="en-US" w:eastAsia="zh-CN" w:bidi="ar-SA"/>
        </w:rPr>
        <w:t>②</w:t>
      </w:r>
      <w:r>
        <w:rPr>
          <w:rFonts w:hint="eastAsia" w:ascii="仿宋" w:hAnsi="仿宋" w:eastAsia="仿宋" w:cs="仿宋"/>
          <w:b/>
          <w:bCs/>
          <w:kern w:val="2"/>
          <w:sz w:val="28"/>
          <w:szCs w:val="36"/>
          <w:lang w:val="en-US" w:eastAsia="zh-CN" w:bidi="ar-SA"/>
        </w:rPr>
        <w:t>付款申请书（参考附件11付款申请书）</w:t>
      </w:r>
      <w:r>
        <w:rPr>
          <w:rFonts w:hint="eastAsia" w:ascii="微软雅黑" w:hAnsi="微软雅黑" w:eastAsia="微软雅黑" w:cs="微软雅黑"/>
          <w:b/>
          <w:bCs/>
          <w:kern w:val="2"/>
          <w:sz w:val="28"/>
          <w:szCs w:val="36"/>
          <w:lang w:val="en-US" w:eastAsia="zh-CN" w:bidi="ar-SA"/>
        </w:rPr>
        <w:t>③</w:t>
      </w:r>
      <w:r>
        <w:rPr>
          <w:rFonts w:hint="eastAsia" w:ascii="仿宋" w:hAnsi="仿宋" w:eastAsia="仿宋" w:cs="仿宋"/>
          <w:b/>
          <w:bCs/>
          <w:kern w:val="2"/>
          <w:sz w:val="28"/>
          <w:szCs w:val="36"/>
          <w:lang w:val="en-US" w:eastAsia="zh-CN" w:bidi="ar-SA"/>
        </w:rPr>
        <w:t>中标通知书（复印件）或处务会会议纪要（分散采购备案表）④合同（第一次原件+复印件，下次复印件）⑤竣工验收报告⑥结算报告（最后一次付款）⑦入库单（设备或家具等需到国资处办理入库）⑧校长办公会的会议纪要（超合同价支付）⑨其它</w:t>
      </w:r>
      <w:r>
        <w:rPr>
          <w:rFonts w:hint="eastAsia" w:ascii="仿宋" w:hAnsi="仿宋" w:eastAsia="仿宋" w:cs="仿宋"/>
          <w:b w:val="0"/>
          <w:bCs w:val="0"/>
          <w:kern w:val="2"/>
          <w:sz w:val="28"/>
          <w:szCs w:val="36"/>
          <w:lang w:val="en-US" w:eastAsia="zh-CN" w:bidi="ar-SA"/>
        </w:rPr>
        <w:t>。</w:t>
      </w:r>
    </w:p>
    <w:p w14:paraId="2D4B96AB">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eastAsia" w:ascii="仿宋" w:hAnsi="仿宋" w:eastAsia="仿宋" w:cs="仿宋"/>
          <w:b w:val="0"/>
          <w:bCs w:val="0"/>
          <w:kern w:val="2"/>
          <w:sz w:val="28"/>
          <w:szCs w:val="36"/>
          <w:lang w:val="en-US" w:eastAsia="zh-CN" w:bidi="ar-SA"/>
        </w:rPr>
      </w:pPr>
    </w:p>
    <w:p w14:paraId="7897E553">
      <w:pPr>
        <w:pStyle w:val="9"/>
        <w:numPr>
          <w:ilvl w:val="0"/>
          <w:numId w:val="0"/>
        </w:numPr>
        <w:spacing w:line="720" w:lineRule="auto"/>
        <w:ind w:leftChars="0"/>
        <w:rPr>
          <w:rFonts w:hint="eastAsia" w:ascii="仿宋" w:hAnsi="仿宋" w:eastAsia="仿宋" w:cs="仿宋"/>
          <w:b w:val="0"/>
          <w:bCs w:val="0"/>
          <w:kern w:val="2"/>
          <w:sz w:val="28"/>
          <w:szCs w:val="36"/>
          <w:lang w:val="en-US" w:eastAsia="zh-CN" w:bidi="ar-SA"/>
        </w:rPr>
      </w:pPr>
    </w:p>
    <w:p w14:paraId="682DEF52">
      <w:pPr>
        <w:numPr>
          <w:ilvl w:val="0"/>
          <w:numId w:val="0"/>
        </w:numPr>
        <w:rPr>
          <w:rFonts w:hint="eastAsia" w:ascii="仿宋" w:hAnsi="仿宋" w:eastAsia="仿宋" w:cs="仿宋"/>
          <w:sz w:val="28"/>
          <w:szCs w:val="36"/>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87756">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11AD3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3711AD3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399217"/>
    <w:multiLevelType w:val="singleLevel"/>
    <w:tmpl w:val="83399217"/>
    <w:lvl w:ilvl="0" w:tentative="0">
      <w:start w:val="1"/>
      <w:numFmt w:val="chineseCounting"/>
      <w:suff w:val="nothing"/>
      <w:lvlText w:val="（%1）"/>
      <w:lvlJc w:val="left"/>
      <w:rPr>
        <w:rFonts w:hint="eastAsia"/>
      </w:rPr>
    </w:lvl>
  </w:abstractNum>
  <w:abstractNum w:abstractNumId="1">
    <w:nsid w:val="878EF1BF"/>
    <w:multiLevelType w:val="singleLevel"/>
    <w:tmpl w:val="878EF1BF"/>
    <w:lvl w:ilvl="0" w:tentative="0">
      <w:start w:val="1"/>
      <w:numFmt w:val="decimal"/>
      <w:suff w:val="nothing"/>
      <w:lvlText w:val="%1."/>
      <w:lvlJc w:val="left"/>
      <w:pPr>
        <w:ind w:left="0" w:leftChars="0" w:firstLine="0" w:firstLineChars="0"/>
      </w:pPr>
      <w:rPr>
        <w:rFonts w:hint="default"/>
      </w:rPr>
    </w:lvl>
  </w:abstractNum>
  <w:abstractNum w:abstractNumId="2">
    <w:nsid w:val="944FCBD0"/>
    <w:multiLevelType w:val="singleLevel"/>
    <w:tmpl w:val="944FCBD0"/>
    <w:lvl w:ilvl="0" w:tentative="0">
      <w:start w:val="2"/>
      <w:numFmt w:val="chineseCounting"/>
      <w:suff w:val="nothing"/>
      <w:lvlText w:val="（%1）"/>
      <w:lvlJc w:val="left"/>
      <w:rPr>
        <w:rFonts w:hint="eastAsia"/>
      </w:rPr>
    </w:lvl>
  </w:abstractNum>
  <w:abstractNum w:abstractNumId="3">
    <w:nsid w:val="AF8C32DB"/>
    <w:multiLevelType w:val="singleLevel"/>
    <w:tmpl w:val="AF8C32DB"/>
    <w:lvl w:ilvl="0" w:tentative="0">
      <w:start w:val="1"/>
      <w:numFmt w:val="chineseCounting"/>
      <w:suff w:val="nothing"/>
      <w:lvlText w:val="（%1）"/>
      <w:lvlJc w:val="left"/>
      <w:rPr>
        <w:rFonts w:hint="eastAsia"/>
      </w:rPr>
    </w:lvl>
  </w:abstractNum>
  <w:abstractNum w:abstractNumId="4">
    <w:nsid w:val="BE6F11A3"/>
    <w:multiLevelType w:val="singleLevel"/>
    <w:tmpl w:val="BE6F11A3"/>
    <w:lvl w:ilvl="0" w:tentative="0">
      <w:start w:val="1"/>
      <w:numFmt w:val="chineseCounting"/>
      <w:suff w:val="nothing"/>
      <w:lvlText w:val="（%1）"/>
      <w:lvlJc w:val="left"/>
      <w:pPr>
        <w:ind w:left="0" w:firstLine="420"/>
      </w:pPr>
      <w:rPr>
        <w:rFonts w:hint="eastAsia"/>
      </w:rPr>
    </w:lvl>
  </w:abstractNum>
  <w:abstractNum w:abstractNumId="5">
    <w:nsid w:val="C2E1C034"/>
    <w:multiLevelType w:val="singleLevel"/>
    <w:tmpl w:val="C2E1C034"/>
    <w:lvl w:ilvl="0" w:tentative="0">
      <w:start w:val="1"/>
      <w:numFmt w:val="decimal"/>
      <w:suff w:val="nothing"/>
      <w:lvlText w:val="%1、"/>
      <w:lvlJc w:val="left"/>
      <w:pPr>
        <w:ind w:left="425" w:leftChars="0" w:hanging="425" w:firstLineChars="0"/>
      </w:pPr>
      <w:rPr>
        <w:rFonts w:hint="default"/>
      </w:rPr>
    </w:lvl>
  </w:abstractNum>
  <w:abstractNum w:abstractNumId="6">
    <w:nsid w:val="E4860174"/>
    <w:multiLevelType w:val="singleLevel"/>
    <w:tmpl w:val="E4860174"/>
    <w:lvl w:ilvl="0" w:tentative="0">
      <w:start w:val="1"/>
      <w:numFmt w:val="decimal"/>
      <w:suff w:val="nothing"/>
      <w:lvlText w:val="%1."/>
      <w:lvlJc w:val="left"/>
    </w:lvl>
  </w:abstractNum>
  <w:abstractNum w:abstractNumId="7">
    <w:nsid w:val="FEDC7639"/>
    <w:multiLevelType w:val="singleLevel"/>
    <w:tmpl w:val="FEDC7639"/>
    <w:lvl w:ilvl="0" w:tentative="0">
      <w:start w:val="1"/>
      <w:numFmt w:val="decimal"/>
      <w:suff w:val="nothing"/>
      <w:lvlText w:val="%1、"/>
      <w:lvlJc w:val="left"/>
      <w:pPr>
        <w:ind w:left="425" w:leftChars="0" w:hanging="425" w:firstLineChars="0"/>
      </w:pPr>
      <w:rPr>
        <w:rFonts w:hint="default"/>
      </w:rPr>
    </w:lvl>
  </w:abstractNum>
  <w:abstractNum w:abstractNumId="8">
    <w:nsid w:val="2A7FF4C7"/>
    <w:multiLevelType w:val="singleLevel"/>
    <w:tmpl w:val="2A7FF4C7"/>
    <w:lvl w:ilvl="0" w:tentative="0">
      <w:start w:val="1"/>
      <w:numFmt w:val="chineseCounting"/>
      <w:suff w:val="nothing"/>
      <w:lvlText w:val="（%1）"/>
      <w:lvlJc w:val="left"/>
      <w:rPr>
        <w:rFonts w:hint="eastAsia"/>
      </w:rPr>
    </w:lvl>
  </w:abstractNum>
  <w:abstractNum w:abstractNumId="9">
    <w:nsid w:val="6B46B823"/>
    <w:multiLevelType w:val="singleLevel"/>
    <w:tmpl w:val="6B46B823"/>
    <w:lvl w:ilvl="0" w:tentative="0">
      <w:start w:val="1"/>
      <w:numFmt w:val="decimal"/>
      <w:suff w:val="nothing"/>
      <w:lvlText w:val="%1."/>
      <w:lvlJc w:val="left"/>
      <w:pPr>
        <w:ind w:left="0" w:leftChars="0" w:firstLine="0" w:firstLineChars="0"/>
      </w:pPr>
      <w:rPr>
        <w:rFonts w:hint="default"/>
      </w:rPr>
    </w:lvl>
  </w:abstractNum>
  <w:abstractNum w:abstractNumId="10">
    <w:nsid w:val="71D2CF2E"/>
    <w:multiLevelType w:val="singleLevel"/>
    <w:tmpl w:val="71D2CF2E"/>
    <w:lvl w:ilvl="0" w:tentative="0">
      <w:start w:val="2"/>
      <w:numFmt w:val="decimal"/>
      <w:suff w:val="nothing"/>
      <w:lvlText w:val="%1）"/>
      <w:lvlJc w:val="left"/>
      <w:pPr>
        <w:ind w:left="840" w:leftChars="0" w:firstLine="0" w:firstLineChars="0"/>
      </w:pPr>
    </w:lvl>
  </w:abstractNum>
  <w:abstractNum w:abstractNumId="11">
    <w:nsid w:val="78CA0778"/>
    <w:multiLevelType w:val="singleLevel"/>
    <w:tmpl w:val="78CA0778"/>
    <w:lvl w:ilvl="0" w:tentative="0">
      <w:start w:val="1"/>
      <w:numFmt w:val="chineseCounting"/>
      <w:suff w:val="nothing"/>
      <w:lvlText w:val="%1、"/>
      <w:lvlJc w:val="left"/>
      <w:pPr>
        <w:tabs>
          <w:tab w:val="left" w:pos="0"/>
        </w:tabs>
      </w:pPr>
      <w:rPr>
        <w:rFonts w:hint="eastAsia"/>
      </w:rPr>
    </w:lvl>
  </w:abstractNum>
  <w:num w:numId="1">
    <w:abstractNumId w:val="11"/>
  </w:num>
  <w:num w:numId="2">
    <w:abstractNumId w:val="4"/>
  </w:num>
  <w:num w:numId="3">
    <w:abstractNumId w:val="9"/>
  </w:num>
  <w:num w:numId="4">
    <w:abstractNumId w:val="2"/>
  </w:num>
  <w:num w:numId="5">
    <w:abstractNumId w:val="1"/>
  </w:num>
  <w:num w:numId="6">
    <w:abstractNumId w:val="6"/>
  </w:num>
  <w:num w:numId="7">
    <w:abstractNumId w:val="7"/>
  </w:num>
  <w:num w:numId="8">
    <w:abstractNumId w:val="3"/>
  </w:num>
  <w:num w:numId="9">
    <w:abstractNumId w:val="8"/>
  </w:num>
  <w:num w:numId="10">
    <w:abstractNumId w:val="5"/>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yYzA4NDBhOTRjOTM2MGQ3MmU2OTJhMjlmMTVlYWQifQ=="/>
  </w:docVars>
  <w:rsids>
    <w:rsidRoot w:val="35363AAC"/>
    <w:rsid w:val="00A03414"/>
    <w:rsid w:val="028662CB"/>
    <w:rsid w:val="148F527B"/>
    <w:rsid w:val="1F071EE2"/>
    <w:rsid w:val="275A2C7C"/>
    <w:rsid w:val="28206559"/>
    <w:rsid w:val="35363AAC"/>
    <w:rsid w:val="3FA053A2"/>
    <w:rsid w:val="40166EE2"/>
    <w:rsid w:val="41B65345"/>
    <w:rsid w:val="45934A0B"/>
    <w:rsid w:val="46D6359C"/>
    <w:rsid w:val="48A67D4C"/>
    <w:rsid w:val="4C345F4A"/>
    <w:rsid w:val="500D5024"/>
    <w:rsid w:val="55316076"/>
    <w:rsid w:val="576B22D6"/>
    <w:rsid w:val="749B0AD6"/>
    <w:rsid w:val="767E05CA"/>
    <w:rsid w:val="7D056B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rPr>
      <w:sz w:val="24"/>
    </w:rPr>
  </w:style>
  <w:style w:type="character" w:styleId="7">
    <w:name w:val="FollowedHyperlink"/>
    <w:basedOn w:val="6"/>
    <w:qFormat/>
    <w:uiPriority w:val="0"/>
    <w:rPr>
      <w:rFonts w:hint="default" w:ascii="Arial" w:hAnsi="Arial" w:eastAsia="Arial" w:cs="Arial"/>
      <w:color w:val="333333"/>
      <w:sz w:val="22"/>
      <w:szCs w:val="22"/>
      <w:u w:val="none"/>
    </w:rPr>
  </w:style>
  <w:style w:type="character" w:styleId="8">
    <w:name w:val="Hyperlink"/>
    <w:basedOn w:val="6"/>
    <w:uiPriority w:val="0"/>
    <w:rPr>
      <w:rFonts w:ascii="Arial" w:hAnsi="Arial" w:eastAsia="Arial" w:cs="Arial"/>
      <w:color w:val="333333"/>
      <w:sz w:val="22"/>
      <w:szCs w:val="22"/>
      <w:u w:val="none"/>
    </w:rPr>
  </w:style>
  <w:style w:type="paragraph" w:styleId="9">
    <w:name w:val="List Paragraph"/>
    <w:basedOn w:val="1"/>
    <w:qFormat/>
    <w:uiPriority w:val="34"/>
    <w:pPr>
      <w:ind w:firstLine="420" w:firstLineChars="200"/>
    </w:pPr>
  </w:style>
  <w:style w:type="character" w:customStyle="1" w:styleId="10">
    <w:name w:val="after8"/>
    <w:basedOn w:val="6"/>
    <w:uiPriority w:val="0"/>
    <w:rPr>
      <w:bdr w:val="dashed" w:color="auto" w:sz="48" w:space="0"/>
    </w:rPr>
  </w:style>
  <w:style w:type="character" w:customStyle="1" w:styleId="11">
    <w:name w:val="after9"/>
    <w:basedOn w:val="6"/>
    <w:qFormat/>
    <w:uiPriority w:val="0"/>
  </w:style>
  <w:style w:type="character" w:customStyle="1" w:styleId="12">
    <w:name w:val="before"/>
    <w:basedOn w:val="6"/>
    <w:uiPriority w:val="0"/>
    <w:rPr>
      <w:bdr w:val="single" w:color="auto" w:sz="48" w:space="0"/>
    </w:rPr>
  </w:style>
  <w:style w:type="character" w:customStyle="1" w:styleId="13">
    <w:name w:val="credit"/>
    <w:basedOn w:val="6"/>
    <w:qFormat/>
    <w:uiPriority w:val="0"/>
    <w:rPr>
      <w:sz w:val="18"/>
      <w:szCs w:val="18"/>
    </w:rPr>
  </w:style>
  <w:style w:type="character" w:customStyle="1" w:styleId="14">
    <w:name w:val="hover51"/>
    <w:basedOn w:val="6"/>
    <w:uiPriority w:val="0"/>
    <w:rPr>
      <w:shd w:val="clear" w:fill="346AC3"/>
    </w:rPr>
  </w:style>
  <w:style w:type="character" w:customStyle="1" w:styleId="15">
    <w:name w:val="hover52"/>
    <w:basedOn w:val="6"/>
    <w:uiPriority w:val="0"/>
    <w:rPr>
      <w:color w:val="4285F4"/>
    </w:rPr>
  </w:style>
  <w:style w:type="character" w:customStyle="1" w:styleId="16">
    <w:name w:val="hover53"/>
    <w:basedOn w:val="6"/>
    <w:uiPriority w:val="0"/>
  </w:style>
  <w:style w:type="character" w:customStyle="1" w:styleId="17">
    <w:name w:val="hover54"/>
    <w:basedOn w:val="6"/>
    <w:uiPriority w:val="0"/>
    <w:rPr>
      <w:color w:val="1A85D7"/>
    </w:rPr>
  </w:style>
  <w:style w:type="character" w:customStyle="1" w:styleId="18">
    <w:name w:val="hover55"/>
    <w:basedOn w:val="6"/>
    <w:qFormat/>
    <w:uiPriority w:val="0"/>
    <w:rPr>
      <w:color w:val="4285F4"/>
    </w:rPr>
  </w:style>
  <w:style w:type="character" w:customStyle="1" w:styleId="19">
    <w:name w:val="hover56"/>
    <w:basedOn w:val="6"/>
    <w:qFormat/>
    <w:uiPriority w:val="0"/>
    <w:rPr>
      <w:color w:val="4285F4"/>
      <w:u w:val="none"/>
    </w:rPr>
  </w:style>
  <w:style w:type="character" w:customStyle="1" w:styleId="20">
    <w:name w:val="first-child"/>
    <w:basedOn w:val="6"/>
    <w:uiPriority w:val="0"/>
  </w:style>
  <w:style w:type="character" w:customStyle="1" w:styleId="21">
    <w:name w:val="active4"/>
    <w:basedOn w:val="6"/>
    <w:uiPriority w:val="0"/>
    <w:rPr>
      <w:color w:val="4285F4"/>
      <w:bdr w:val="single" w:color="4285F4" w:sz="6" w:space="0"/>
    </w:rPr>
  </w:style>
  <w:style w:type="character" w:customStyle="1" w:styleId="22">
    <w:name w:val="last-child1"/>
    <w:basedOn w:val="6"/>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4379</Words>
  <Characters>4403</Characters>
  <Lines>0</Lines>
  <Paragraphs>0</Paragraphs>
  <TotalTime>6</TotalTime>
  <ScaleCrop>false</ScaleCrop>
  <LinksUpToDate>false</LinksUpToDate>
  <CharactersWithSpaces>4449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2023-04-12T07:29:00Z</dcterms:created>
  <dc:creator>淡蓝</dc:creator>
  <cp:lastModifiedBy>淡蓝</cp:lastModifiedBy>
  <dcterms:modified xsi:type="dcterms:W3CDTF">2024-11-26T02:09:37Z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F226A5A218E44B849DCB0C465E30CA08_11</vt:lpwstr>
  </property>
</Properties>
</file>