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eastAsia" w:ascii="华文隶书" w:eastAsia="华文隶书"/>
          <w:sz w:val="44"/>
          <w:szCs w:val="44"/>
        </w:rPr>
      </w:pPr>
      <w:r>
        <w:rPr>
          <w:rFonts w:hint="eastAsia" w:ascii="华文隶书" w:eastAsia="华文隶书"/>
          <w:sz w:val="44"/>
          <w:szCs w:val="44"/>
        </w:rPr>
        <w:t>编 制 说 明</w:t>
      </w:r>
    </w:p>
    <w:p>
      <w:pPr>
        <w:rPr>
          <w:u w:val="single"/>
        </w:rPr>
      </w:pPr>
      <w:r>
        <w:rPr>
          <w:rFonts w:hint="eastAsia"/>
          <w:u w:val="single"/>
        </w:rPr>
        <w:t xml:space="preserve">                                                                                    </w:t>
      </w:r>
    </w:p>
    <w:p>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 xml:space="preserve">一、工程概况： </w:t>
      </w:r>
    </w:p>
    <w:p>
      <w:pPr>
        <w:spacing w:line="360" w:lineRule="auto"/>
        <w:ind w:left="240" w:hanging="240" w:hangingChars="100"/>
        <w:rPr>
          <w:rFonts w:hint="eastAsia" w:asciiTheme="majorEastAsia" w:hAnsiTheme="majorEastAsia" w:eastAsiaTheme="majorEastAsia"/>
          <w:sz w:val="24"/>
        </w:rPr>
      </w:pPr>
      <w:r>
        <w:rPr>
          <w:rFonts w:hint="eastAsia" w:asciiTheme="majorEastAsia" w:hAnsiTheme="majorEastAsia" w:eastAsiaTheme="majorEastAsia"/>
          <w:sz w:val="24"/>
          <w:lang w:val="en-US" w:eastAsia="zh-CN"/>
        </w:rPr>
        <w:t>1、</w:t>
      </w:r>
      <w:r>
        <w:rPr>
          <w:rFonts w:hint="eastAsia" w:asciiTheme="majorEastAsia" w:hAnsiTheme="majorEastAsia" w:eastAsiaTheme="majorEastAsia"/>
          <w:sz w:val="24"/>
        </w:rPr>
        <w:t>工程名称：热压罐系统设备房</w:t>
      </w:r>
      <w:r>
        <w:rPr>
          <w:rFonts w:hint="eastAsia" w:asciiTheme="majorEastAsia" w:hAnsiTheme="majorEastAsia" w:eastAsiaTheme="majorEastAsia"/>
          <w:sz w:val="24"/>
          <w:lang w:eastAsia="zh-CN"/>
        </w:rPr>
        <w:t>；</w:t>
      </w:r>
    </w:p>
    <w:p>
      <w:pPr>
        <w:spacing w:line="360" w:lineRule="auto"/>
        <w:ind w:left="240" w:hanging="240" w:hangingChars="100"/>
        <w:rPr>
          <w:rFonts w:hint="eastAsia" w:asciiTheme="majorEastAsia" w:hAnsiTheme="majorEastAsia" w:eastAsiaTheme="majorEastAsia"/>
          <w:sz w:val="24"/>
        </w:rPr>
      </w:pPr>
      <w:r>
        <w:rPr>
          <w:rFonts w:hint="eastAsia" w:asciiTheme="majorEastAsia" w:hAnsiTheme="majorEastAsia" w:eastAsiaTheme="majorEastAsia"/>
          <w:sz w:val="24"/>
          <w:lang w:val="en-US" w:eastAsia="zh-CN"/>
        </w:rPr>
        <w:t>2、</w:t>
      </w:r>
      <w:r>
        <w:rPr>
          <w:rFonts w:hint="eastAsia" w:asciiTheme="majorEastAsia" w:hAnsiTheme="majorEastAsia" w:eastAsiaTheme="majorEastAsia"/>
          <w:sz w:val="24"/>
        </w:rPr>
        <w:t>建设单位：南昌航空大学</w:t>
      </w:r>
      <w:r>
        <w:rPr>
          <w:rFonts w:hint="eastAsia" w:asciiTheme="majorEastAsia" w:hAnsiTheme="majorEastAsia" w:eastAsiaTheme="majorEastAsia"/>
          <w:sz w:val="24"/>
          <w:lang w:eastAsia="zh-CN"/>
        </w:rPr>
        <w:t>；</w:t>
      </w:r>
    </w:p>
    <w:p>
      <w:pPr>
        <w:spacing w:line="360" w:lineRule="auto"/>
        <w:ind w:left="240" w:hanging="240" w:hanging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3、</w:t>
      </w:r>
      <w:r>
        <w:rPr>
          <w:rFonts w:hint="eastAsia" w:asciiTheme="majorEastAsia" w:hAnsiTheme="majorEastAsia" w:eastAsiaTheme="majorEastAsia"/>
          <w:sz w:val="24"/>
        </w:rPr>
        <w:t>建设地点：</w:t>
      </w:r>
      <w:r>
        <w:rPr>
          <w:rFonts w:hint="eastAsia" w:asciiTheme="majorEastAsia" w:hAnsiTheme="majorEastAsia" w:eastAsiaTheme="majorEastAsia"/>
          <w:sz w:val="24"/>
          <w:lang w:eastAsia="zh-CN"/>
        </w:rPr>
        <w:t>江西省南昌市</w:t>
      </w:r>
      <w:r>
        <w:rPr>
          <w:rFonts w:hint="eastAsia" w:asciiTheme="majorEastAsia" w:hAnsiTheme="majorEastAsia" w:eastAsiaTheme="majorEastAsia"/>
          <w:sz w:val="24"/>
        </w:rPr>
        <w:t>。</w:t>
      </w:r>
    </w:p>
    <w:p>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二、工程范围：</w:t>
      </w:r>
    </w:p>
    <w:p>
      <w:pPr>
        <w:spacing w:line="360" w:lineRule="auto"/>
        <w:ind w:left="240" w:hanging="240" w:hangingChars="100"/>
        <w:rPr>
          <w:rFonts w:asciiTheme="majorEastAsia" w:hAnsiTheme="majorEastAsia" w:eastAsiaTheme="majorEastAsia"/>
          <w:sz w:val="24"/>
        </w:rPr>
      </w:pPr>
      <w:r>
        <w:rPr>
          <w:rFonts w:hint="eastAsia" w:asciiTheme="majorEastAsia" w:hAnsiTheme="majorEastAsia" w:eastAsiaTheme="majorEastAsia"/>
          <w:sz w:val="24"/>
        </w:rPr>
        <w:t xml:space="preserve">    本工程包含设计图纸范围内的</w:t>
      </w:r>
      <w:r>
        <w:rPr>
          <w:rFonts w:hint="eastAsia" w:asciiTheme="majorEastAsia" w:hAnsiTheme="majorEastAsia" w:eastAsiaTheme="majorEastAsia"/>
          <w:sz w:val="24"/>
          <w:lang w:eastAsia="zh-CN"/>
        </w:rPr>
        <w:t>土建装饰部分</w:t>
      </w:r>
      <w:r>
        <w:rPr>
          <w:rFonts w:hint="eastAsia" w:asciiTheme="majorEastAsia" w:hAnsiTheme="majorEastAsia" w:eastAsiaTheme="majorEastAsia"/>
          <w:sz w:val="24"/>
        </w:rPr>
        <w:t>。</w:t>
      </w:r>
    </w:p>
    <w:p>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三、编制依据：</w:t>
      </w:r>
    </w:p>
    <w:p>
      <w:pPr>
        <w:spacing w:line="360" w:lineRule="auto"/>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1、本工程依据根据有关专业图纸、及有关文字说明计算；</w:t>
      </w:r>
    </w:p>
    <w:p>
      <w:pPr>
        <w:spacing w:line="360" w:lineRule="auto"/>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2、编制范围为图纸设计范围；</w:t>
      </w:r>
    </w:p>
    <w:p>
      <w:pPr>
        <w:spacing w:line="360" w:lineRule="auto"/>
        <w:rPr>
          <w:rFonts w:hint="eastAsia" w:asciiTheme="majorEastAsia" w:hAnsiTheme="majorEastAsia" w:eastAsiaTheme="majorEastAsia"/>
          <w:sz w:val="24"/>
          <w:lang w:eastAsia="zh-CN"/>
        </w:rPr>
      </w:pPr>
      <w:r>
        <w:rPr>
          <w:rFonts w:hint="eastAsia" w:asciiTheme="majorEastAsia" w:hAnsiTheme="majorEastAsia" w:eastAsiaTheme="majorEastAsia"/>
          <w:sz w:val="24"/>
          <w:lang w:val="en-US" w:eastAsia="zh-CN"/>
        </w:rPr>
        <w:t>3、</w:t>
      </w:r>
      <w:r>
        <w:rPr>
          <w:rFonts w:hint="eastAsia" w:asciiTheme="majorEastAsia" w:hAnsiTheme="majorEastAsia" w:eastAsiaTheme="majorEastAsia"/>
          <w:sz w:val="24"/>
        </w:rPr>
        <w:t>工程量清单计价</w:t>
      </w:r>
      <w:r>
        <w:rPr>
          <w:rFonts w:hint="eastAsia" w:asciiTheme="majorEastAsia" w:hAnsiTheme="majorEastAsia" w:eastAsiaTheme="majorEastAsia"/>
          <w:sz w:val="24"/>
          <w:lang w:eastAsia="zh-CN"/>
        </w:rPr>
        <w:t>执行</w:t>
      </w:r>
      <w:r>
        <w:rPr>
          <w:rFonts w:hint="eastAsia" w:asciiTheme="majorEastAsia" w:hAnsiTheme="majorEastAsia" w:eastAsiaTheme="majorEastAsia"/>
          <w:sz w:val="24"/>
        </w:rPr>
        <w:t>标准：《建设工程工程量清单计价规范》（GB50500-2013）</w:t>
      </w:r>
      <w:r>
        <w:rPr>
          <w:rFonts w:hint="eastAsia" w:asciiTheme="majorEastAsia" w:hAnsiTheme="majorEastAsia" w:eastAsiaTheme="majorEastAsia"/>
          <w:sz w:val="24"/>
          <w:lang w:eastAsia="zh-CN"/>
        </w:rPr>
        <w:t>。</w:t>
      </w:r>
    </w:p>
    <w:p>
      <w:pPr>
        <w:spacing w:line="360" w:lineRule="auto"/>
        <w:ind w:left="240" w:hanging="240" w:hanging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4</w:t>
      </w:r>
      <w:r>
        <w:rPr>
          <w:rFonts w:hint="eastAsia" w:asciiTheme="majorEastAsia" w:hAnsiTheme="majorEastAsia" w:eastAsiaTheme="majorEastAsia"/>
          <w:sz w:val="24"/>
        </w:rPr>
        <w:t>、工程定额执行标准：</w:t>
      </w:r>
      <w:r>
        <w:rPr>
          <w:rFonts w:hint="eastAsia" w:asciiTheme="majorEastAsia" w:hAnsiTheme="majorEastAsia" w:eastAsiaTheme="majorEastAsia"/>
          <w:sz w:val="24"/>
          <w:lang w:val="en-US" w:eastAsia="zh-CN"/>
        </w:rPr>
        <w:t>江西省住房和城乡建设厅文件（赣建价【2017】7号）关于颁布2017版《江西省建设工程定额》的通知：</w:t>
      </w:r>
    </w:p>
    <w:p>
      <w:pPr>
        <w:spacing w:line="360" w:lineRule="auto"/>
        <w:ind w:firstLine="240" w:firstLine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①《江西省房屋建筑与装饰工程消耗量定额及统一基价表》（2017版）；</w:t>
      </w:r>
    </w:p>
    <w:p>
      <w:pPr>
        <w:spacing w:line="360" w:lineRule="auto"/>
        <w:ind w:firstLine="240" w:firstLine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②《江西省通用安装工程消耗量定额及统一基价表》（2017版）；</w:t>
      </w:r>
    </w:p>
    <w:p>
      <w:pPr>
        <w:spacing w:line="360" w:lineRule="auto"/>
        <w:ind w:firstLine="240" w:firstLine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③《江西省市政工程消耗量定额及统一基价表》（2017版）；</w:t>
      </w:r>
    </w:p>
    <w:p>
      <w:pPr>
        <w:spacing w:line="360" w:lineRule="auto"/>
        <w:ind w:firstLine="240" w:firstLine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④《江西省建筑与装饰、通用安装、市政工程费用定额（试行）》（2017版）；</w:t>
      </w:r>
    </w:p>
    <w:p>
      <w:pPr>
        <w:spacing w:line="360" w:lineRule="auto"/>
        <w:ind w:firstLine="240" w:firstLine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⑤《江西省建设工程施工机械台班费用定额（增值税版）》（2017版）；</w:t>
      </w:r>
    </w:p>
    <w:p>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四、计价</w:t>
      </w:r>
      <w:r>
        <w:rPr>
          <w:rFonts w:hint="eastAsia" w:asciiTheme="majorEastAsia" w:hAnsiTheme="majorEastAsia" w:eastAsiaTheme="majorEastAsia"/>
          <w:b/>
          <w:sz w:val="24"/>
          <w:lang w:eastAsia="zh-CN"/>
        </w:rPr>
        <w:t>说明</w:t>
      </w:r>
      <w:r>
        <w:rPr>
          <w:rFonts w:hint="eastAsia" w:asciiTheme="majorEastAsia" w:hAnsiTheme="majorEastAsia" w:eastAsiaTheme="majorEastAsia"/>
          <w:b/>
          <w:sz w:val="24"/>
        </w:rPr>
        <w:t>：</w:t>
      </w:r>
    </w:p>
    <w:p>
      <w:pPr>
        <w:numPr>
          <w:ilvl w:val="0"/>
          <w:numId w:val="0"/>
        </w:numPr>
        <w:spacing w:line="360" w:lineRule="auto"/>
        <w:ind w:left="240" w:hanging="240" w:hanging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rPr>
        <w:t>1、</w:t>
      </w:r>
      <w:r>
        <w:rPr>
          <w:rFonts w:hint="eastAsia" w:asciiTheme="majorEastAsia" w:hAnsiTheme="majorEastAsia" w:eastAsiaTheme="majorEastAsia"/>
          <w:sz w:val="24"/>
          <w:lang w:val="en-US" w:eastAsia="zh-CN"/>
        </w:rPr>
        <w:t>本工程取费标准：依据《江西省建筑与装饰、通用安装、市政工程费用定额（试行）》（2017版）标准计取，附加税按工程所在地为市区标准取费；</w:t>
      </w:r>
    </w:p>
    <w:p>
      <w:pPr>
        <w:numPr>
          <w:ilvl w:val="0"/>
          <w:numId w:val="0"/>
        </w:numPr>
        <w:spacing w:line="360" w:lineRule="auto"/>
        <w:ind w:left="240" w:hanging="240" w:hanging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2、本工程人工费计取标准：依据赣建价〔2018〕5号关于调整江西省建设工程定额综合工日单价的通知,</w:t>
      </w:r>
      <w:r>
        <w:rPr>
          <w:rFonts w:hint="eastAsia" w:ascii="宋体" w:hAnsi="宋体" w:eastAsia="宋体" w:cs="宋体"/>
          <w:color w:val="333333"/>
          <w:kern w:val="0"/>
          <w:sz w:val="24"/>
          <w:szCs w:val="24"/>
        </w:rPr>
        <w:t>2017版建设工程定额：建筑、安装、市政工程定额综合工日单价调整为</w:t>
      </w:r>
      <w:r>
        <w:rPr>
          <w:rFonts w:hint="eastAsia" w:ascii="宋体" w:hAnsi="宋体" w:cs="宋体"/>
          <w:color w:val="333333"/>
          <w:kern w:val="0"/>
          <w:sz w:val="24"/>
          <w:szCs w:val="24"/>
          <w:lang w:val="en-US" w:eastAsia="zh-CN"/>
        </w:rPr>
        <w:t>100</w:t>
      </w:r>
      <w:r>
        <w:rPr>
          <w:rFonts w:hint="eastAsia" w:ascii="宋体" w:hAnsi="宋体" w:eastAsia="宋体" w:cs="宋体"/>
          <w:color w:val="333333"/>
          <w:kern w:val="0"/>
          <w:sz w:val="24"/>
          <w:szCs w:val="24"/>
        </w:rPr>
        <w:t>元/工日；装饰工程定额综合工日单价调整为</w:t>
      </w:r>
      <w:r>
        <w:rPr>
          <w:rFonts w:hint="eastAsia" w:ascii="宋体" w:hAnsi="宋体" w:cs="宋体"/>
          <w:color w:val="333333"/>
          <w:kern w:val="0"/>
          <w:sz w:val="24"/>
          <w:szCs w:val="24"/>
          <w:lang w:val="en-US" w:eastAsia="zh-CN"/>
        </w:rPr>
        <w:t>117</w:t>
      </w:r>
      <w:r>
        <w:rPr>
          <w:rFonts w:hint="eastAsia" w:ascii="宋体" w:hAnsi="宋体" w:eastAsia="宋体" w:cs="宋体"/>
          <w:color w:val="333333"/>
          <w:kern w:val="0"/>
          <w:sz w:val="24"/>
          <w:szCs w:val="24"/>
        </w:rPr>
        <w:t>元/工日。</w:t>
      </w:r>
    </w:p>
    <w:p>
      <w:pPr>
        <w:spacing w:line="360" w:lineRule="auto"/>
        <w:ind w:left="240" w:hanging="240" w:hanging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3、本工程主要材料价格计取标准：依据南昌市建设工程造价管理站发布的《南昌建设工程造价信息》2021年第6期材料信息价格编制，信息价缺项材料暂按市场价的材料价格进行编制；</w:t>
      </w:r>
    </w:p>
    <w:p>
      <w:pPr>
        <w:numPr>
          <w:ilvl w:val="0"/>
          <w:numId w:val="0"/>
        </w:numPr>
        <w:spacing w:line="360" w:lineRule="auto"/>
        <w:ind w:left="240" w:hanging="240" w:hangingChars="100"/>
        <w:rPr>
          <w:rFonts w:eastAsia="宋体"/>
        </w:rPr>
      </w:pPr>
      <w:r>
        <w:rPr>
          <w:rFonts w:hint="eastAsia" w:ascii="宋体" w:hAnsi="宋体" w:cs="宋体"/>
          <w:color w:val="333333"/>
          <w:kern w:val="0"/>
          <w:sz w:val="24"/>
          <w:szCs w:val="24"/>
          <w:lang w:val="en-US" w:eastAsia="zh-CN"/>
        </w:rPr>
        <w:t>4</w:t>
      </w:r>
      <w:r>
        <w:rPr>
          <w:rFonts w:hint="eastAsia" w:ascii="宋体" w:hAnsi="宋体" w:eastAsia="宋体" w:cs="宋体"/>
          <w:color w:val="333333"/>
          <w:kern w:val="0"/>
          <w:sz w:val="24"/>
          <w:szCs w:val="24"/>
          <w:lang w:val="en-US" w:eastAsia="zh-CN"/>
        </w:rPr>
        <w:t>、</w:t>
      </w:r>
      <w:r>
        <w:rPr>
          <w:rFonts w:hint="eastAsia" w:asciiTheme="majorEastAsia" w:hAnsiTheme="majorEastAsia" w:eastAsiaTheme="majorEastAsia"/>
          <w:sz w:val="24"/>
          <w:lang w:val="en-US" w:eastAsia="zh-CN"/>
        </w:rPr>
        <w:t>本工程税金执行标准：依据赣建价〔</w:t>
      </w:r>
      <w:r>
        <w:rPr>
          <w:rFonts w:hint="default" w:asciiTheme="majorEastAsia" w:hAnsiTheme="majorEastAsia" w:eastAsiaTheme="majorEastAsia"/>
          <w:sz w:val="24"/>
          <w:lang w:val="en-US" w:eastAsia="zh-CN"/>
        </w:rPr>
        <w:t>2016</w:t>
      </w:r>
      <w:r>
        <w:rPr>
          <w:rFonts w:hint="eastAsia" w:asciiTheme="majorEastAsia" w:hAnsiTheme="majorEastAsia" w:eastAsiaTheme="majorEastAsia"/>
          <w:sz w:val="24"/>
          <w:lang w:val="en-US" w:eastAsia="zh-CN"/>
        </w:rPr>
        <w:t>〕</w:t>
      </w:r>
      <w:r>
        <w:rPr>
          <w:rFonts w:hint="default" w:asciiTheme="majorEastAsia" w:hAnsiTheme="majorEastAsia" w:eastAsiaTheme="majorEastAsia"/>
          <w:sz w:val="24"/>
          <w:lang w:val="en-US" w:eastAsia="zh-CN"/>
        </w:rPr>
        <w:t>3</w:t>
      </w:r>
      <w:r>
        <w:rPr>
          <w:rFonts w:hint="eastAsia" w:asciiTheme="majorEastAsia" w:hAnsiTheme="majorEastAsia" w:eastAsiaTheme="majorEastAsia"/>
          <w:sz w:val="24"/>
          <w:lang w:val="en-US" w:eastAsia="zh-CN"/>
        </w:rPr>
        <w:t>号</w:t>
      </w:r>
      <w:r>
        <w:rPr>
          <w:rFonts w:hint="default" w:asciiTheme="majorEastAsia" w:hAnsiTheme="majorEastAsia" w:eastAsiaTheme="majorEastAsia"/>
          <w:sz w:val="24"/>
          <w:lang w:val="en-US" w:eastAsia="zh-CN"/>
        </w:rPr>
        <w:t>关于实施建筑业营业税改增值税后调整全省建设工程现行计价规则和依据的通知</w:t>
      </w:r>
      <w:r>
        <w:rPr>
          <w:rFonts w:hint="eastAsia" w:asciiTheme="majorEastAsia" w:hAnsiTheme="majorEastAsia" w:eastAsiaTheme="majorEastAsia"/>
          <w:sz w:val="24"/>
          <w:lang w:val="en-US" w:eastAsia="zh-CN"/>
        </w:rPr>
        <w:t>，本工程计税方法采用增值税一般计税法。</w:t>
      </w:r>
    </w:p>
    <w:p>
      <w:pPr>
        <w:numPr>
          <w:ilvl w:val="0"/>
          <w:numId w:val="0"/>
        </w:numPr>
        <w:spacing w:line="360" w:lineRule="auto"/>
        <w:ind w:left="240" w:hanging="240" w:hangingChars="100"/>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5、本工程增值税计取标准：依据赣建价[2018]1号江西省建设工程计价依据增值税税率的通知，费用定额中增值税税率按9%计取。</w:t>
      </w:r>
    </w:p>
    <w:p>
      <w:pPr>
        <w:spacing w:line="360" w:lineRule="auto"/>
        <w:ind w:left="240" w:hanging="240" w:hangingChars="100"/>
        <w:rPr>
          <w:rFonts w:asciiTheme="majorEastAsia" w:hAnsiTheme="majorEastAsia" w:eastAsiaTheme="majorEastAsia"/>
          <w:sz w:val="24"/>
        </w:rPr>
      </w:pPr>
      <w:r>
        <w:rPr>
          <w:rFonts w:hint="eastAsia" w:asciiTheme="majorEastAsia" w:hAnsiTheme="majorEastAsia" w:eastAsiaTheme="majorEastAsia"/>
          <w:sz w:val="24"/>
          <w:lang w:val="en-US" w:eastAsia="zh-CN"/>
        </w:rPr>
        <w:t>6、</w:t>
      </w:r>
      <w:r>
        <w:rPr>
          <w:rFonts w:hint="eastAsia" w:asciiTheme="majorEastAsia" w:hAnsiTheme="majorEastAsia" w:eastAsiaTheme="majorEastAsia"/>
          <w:sz w:val="24"/>
        </w:rPr>
        <w:t>本工程</w:t>
      </w:r>
      <w:r>
        <w:rPr>
          <w:rFonts w:hint="eastAsia" w:asciiTheme="majorEastAsia" w:hAnsiTheme="majorEastAsia" w:eastAsiaTheme="majorEastAsia"/>
          <w:sz w:val="24"/>
          <w:lang w:eastAsia="zh-CN"/>
        </w:rPr>
        <w:t>砼</w:t>
      </w:r>
      <w:r>
        <w:rPr>
          <w:rFonts w:hint="eastAsia" w:asciiTheme="majorEastAsia" w:hAnsiTheme="majorEastAsia" w:eastAsiaTheme="majorEastAsia"/>
          <w:sz w:val="24"/>
        </w:rPr>
        <w:t>采用碎石商品砼、</w:t>
      </w:r>
      <w:r>
        <w:rPr>
          <w:rFonts w:hint="eastAsia" w:asciiTheme="majorEastAsia" w:hAnsiTheme="majorEastAsia" w:eastAsiaTheme="majorEastAsia"/>
          <w:sz w:val="24"/>
          <w:lang w:eastAsia="zh-CN"/>
        </w:rPr>
        <w:t>砂浆采用</w:t>
      </w:r>
      <w:r>
        <w:rPr>
          <w:rFonts w:hint="eastAsia" w:asciiTheme="majorEastAsia" w:hAnsiTheme="majorEastAsia" w:eastAsiaTheme="majorEastAsia"/>
          <w:sz w:val="24"/>
        </w:rPr>
        <w:t>预拌砂浆</w:t>
      </w:r>
      <w:r>
        <w:rPr>
          <w:rFonts w:hint="eastAsia" w:asciiTheme="majorEastAsia" w:hAnsiTheme="majorEastAsia" w:eastAsiaTheme="majorEastAsia"/>
          <w:sz w:val="24"/>
          <w:lang w:eastAsia="zh-CN"/>
        </w:rPr>
        <w:t>、模板采用</w:t>
      </w:r>
      <w:r>
        <w:rPr>
          <w:rFonts w:hint="eastAsia" w:asciiTheme="majorEastAsia" w:hAnsiTheme="majorEastAsia" w:eastAsiaTheme="majorEastAsia"/>
          <w:sz w:val="24"/>
          <w:lang w:val="en-US" w:eastAsia="zh-CN"/>
        </w:rPr>
        <w:t>18mm木胶板、脚手架为钢管脚手架</w:t>
      </w:r>
      <w:r>
        <w:rPr>
          <w:rFonts w:hint="eastAsia" w:asciiTheme="majorEastAsia" w:hAnsiTheme="majorEastAsia" w:eastAsiaTheme="majorEastAsia"/>
          <w:sz w:val="24"/>
        </w:rPr>
        <w:t>。</w:t>
      </w:r>
    </w:p>
    <w:p>
      <w:pPr>
        <w:spacing w:line="360" w:lineRule="auto"/>
        <w:rPr>
          <w:rFonts w:hint="eastAsia" w:asciiTheme="majorEastAsia" w:hAnsiTheme="majorEastAsia" w:eastAsiaTheme="majorEastAsia"/>
          <w:b/>
          <w:sz w:val="24"/>
        </w:rPr>
      </w:pPr>
      <w:r>
        <w:rPr>
          <w:rFonts w:hint="eastAsia" w:asciiTheme="majorEastAsia" w:hAnsiTheme="majorEastAsia" w:eastAsiaTheme="majorEastAsia"/>
          <w:b/>
          <w:sz w:val="24"/>
        </w:rPr>
        <w:t>五、计算说明：</w:t>
      </w:r>
    </w:p>
    <w:p>
      <w:pPr>
        <w:spacing w:line="360" w:lineRule="auto"/>
        <w:rPr>
          <w:rFonts w:hint="eastAsia" w:asciiTheme="majorEastAsia" w:hAnsiTheme="majorEastAsia" w:eastAsiaTheme="majorEastAsia"/>
          <w:b/>
          <w:sz w:val="24"/>
          <w:lang w:eastAsia="zh-CN"/>
        </w:rPr>
      </w:pPr>
      <w:r>
        <w:rPr>
          <w:rFonts w:hint="eastAsia" w:asciiTheme="majorEastAsia" w:hAnsiTheme="majorEastAsia" w:eastAsiaTheme="majorEastAsia"/>
          <w:b/>
          <w:sz w:val="24"/>
          <w:lang w:eastAsia="zh-CN"/>
        </w:rPr>
        <w:t>（一）土建装饰工程</w:t>
      </w:r>
    </w:p>
    <w:p>
      <w:pPr>
        <w:pStyle w:val="2"/>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1、设备基础平面尺寸与大样不符，现编制预算时按照大样图纸编制，具体结算以现场实际施工按实结算。</w:t>
      </w:r>
    </w:p>
    <w:p>
      <w:pPr>
        <w:pStyle w:val="2"/>
        <w:rPr>
          <w:rFonts w:hint="default"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2、未标注混凝土等级的构件，地上部分按照C20计算，地下按照C30计算。</w:t>
      </w:r>
    </w:p>
    <w:p>
      <w:pPr>
        <w:pStyle w:val="2"/>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3、地面装修做法未详细注明，现编制预算时按照适用方案编制，具体结算以现场实际施工按实结算。</w:t>
      </w:r>
    </w:p>
    <w:p>
      <w:pPr>
        <w:pStyle w:val="2"/>
        <w:rPr>
          <w:rFonts w:hint="eastAsia" w:asciiTheme="majorEastAsia" w:hAnsiTheme="majorEastAsia" w:eastAsiaTheme="majorEastAsia"/>
          <w:sz w:val="24"/>
          <w:lang w:val="en-US" w:eastAsia="zh-CN"/>
        </w:rPr>
      </w:pPr>
      <w:r>
        <w:rPr>
          <w:rFonts w:hint="eastAsia" w:asciiTheme="majorEastAsia" w:hAnsiTheme="majorEastAsia" w:eastAsiaTheme="majorEastAsia"/>
          <w:sz w:val="24"/>
          <w:lang w:val="en-US" w:eastAsia="zh-CN"/>
        </w:rPr>
        <w:t>4、机械进出场计算一次履带式挖掘机进出场费1m3以外，</w:t>
      </w:r>
      <w:r>
        <w:rPr>
          <w:rFonts w:hint="eastAsia" w:asciiTheme="majorEastAsia" w:hAnsiTheme="majorEastAsia" w:eastAsiaTheme="majorEastAsia"/>
          <w:sz w:val="24"/>
          <w:lang w:val="en-US" w:eastAsia="zh-CN"/>
        </w:rPr>
        <w:t>具体结算以现场实际施工按实结算。</w:t>
      </w:r>
    </w:p>
    <w:p>
      <w:pPr>
        <w:numPr>
          <w:ilvl w:val="0"/>
          <w:numId w:val="0"/>
        </w:numPr>
        <w:spacing w:line="360" w:lineRule="auto"/>
        <w:ind w:left="240" w:hanging="240" w:hangingChars="100"/>
        <w:rPr>
          <w:rFonts w:hint="default" w:asciiTheme="majorEastAsia" w:hAnsiTheme="majorEastAsia" w:eastAsiaTheme="majorEastAsia"/>
          <w:sz w:val="24"/>
          <w:lang w:val="en-US" w:eastAsia="zh-CN"/>
        </w:rPr>
      </w:pPr>
    </w:p>
    <w:p>
      <w:pPr>
        <w:numPr>
          <w:ilvl w:val="0"/>
          <w:numId w:val="0"/>
        </w:numPr>
        <w:spacing w:line="360" w:lineRule="auto"/>
        <w:ind w:left="240" w:hanging="240" w:hangingChars="100"/>
        <w:jc w:val="right"/>
        <w:rPr>
          <w:rFonts w:hint="default" w:asciiTheme="majorEastAsia" w:hAnsiTheme="majorEastAsia" w:eastAsiaTheme="majorEastAsia"/>
          <w:sz w:val="24"/>
          <w:lang w:val="en-US" w:eastAsia="zh-CN"/>
        </w:rPr>
      </w:pPr>
      <w:bookmarkStart w:id="0" w:name="_GoBack"/>
      <w:bookmarkEnd w:id="0"/>
    </w:p>
    <w:sectPr>
      <w:footerReference r:id="rId3" w:type="default"/>
      <w:pgSz w:w="11906" w:h="16838"/>
      <w:pgMar w:top="1440" w:right="1416" w:bottom="1440" w:left="180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直接箭头连接符 3" o:spid="_x0000_s4097" o:spt="32" type="#_x0000_t32" style="position:absolute;left:0pt;margin-left:-21.75pt;margin-top:-6.95pt;height:0pt;width:454.55pt;z-index:251657216;mso-width-relative:page;mso-height-relative:page;" filled="f" coordsize="21600,21600" adj="-3243,-1,-3243">
          <v:path arrowok="t"/>
          <v:fill on="f" focussize="0,0"/>
          <v:stroke weight="1.5pt"/>
          <v:imagedata o:title=""/>
          <o:lock v:ext="edit"/>
        </v:shape>
      </w:pict>
    </w:r>
    <w:r>
      <w:pict>
        <v:shape id="_x0000_s4098" o:spid="_x0000_s4098" o:spt="202" type="#_x0000_t202" style="position:absolute;left:0pt;margin-left:406.4pt;margin-top:3.25pt;height:10.35pt;width:4.55p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rPr>
                    <w:sz w:val="18"/>
                    <w:szCs w:val="18"/>
                  </w:rP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3</w:t>
                </w:r>
                <w:r>
                  <w:rPr>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rules v:ext="edit">
        <o:r id="V:Rule1" type="connector" idref="#直接箭头连接符 3"/>
      </o:rules>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2366C"/>
    <w:rsid w:val="00003F8E"/>
    <w:rsid w:val="0004074A"/>
    <w:rsid w:val="00045FAD"/>
    <w:rsid w:val="000839C5"/>
    <w:rsid w:val="000E224D"/>
    <w:rsid w:val="001069F1"/>
    <w:rsid w:val="0013343D"/>
    <w:rsid w:val="00145806"/>
    <w:rsid w:val="00145EAA"/>
    <w:rsid w:val="00182FFB"/>
    <w:rsid w:val="00184E89"/>
    <w:rsid w:val="00212927"/>
    <w:rsid w:val="00281E7D"/>
    <w:rsid w:val="00293471"/>
    <w:rsid w:val="00296EB0"/>
    <w:rsid w:val="002B4615"/>
    <w:rsid w:val="00344548"/>
    <w:rsid w:val="00357A95"/>
    <w:rsid w:val="003B17DA"/>
    <w:rsid w:val="00443345"/>
    <w:rsid w:val="004902C3"/>
    <w:rsid w:val="004D25E1"/>
    <w:rsid w:val="004E0546"/>
    <w:rsid w:val="004F5DBD"/>
    <w:rsid w:val="00522B15"/>
    <w:rsid w:val="0054337A"/>
    <w:rsid w:val="00614FEC"/>
    <w:rsid w:val="00692DE1"/>
    <w:rsid w:val="006A477E"/>
    <w:rsid w:val="006F4C90"/>
    <w:rsid w:val="006F7A41"/>
    <w:rsid w:val="00707843"/>
    <w:rsid w:val="00713842"/>
    <w:rsid w:val="00732917"/>
    <w:rsid w:val="00745FEA"/>
    <w:rsid w:val="007B5907"/>
    <w:rsid w:val="007F1168"/>
    <w:rsid w:val="00823AEE"/>
    <w:rsid w:val="00870771"/>
    <w:rsid w:val="00923946"/>
    <w:rsid w:val="009A68F0"/>
    <w:rsid w:val="00AB1C63"/>
    <w:rsid w:val="00AD726A"/>
    <w:rsid w:val="00B72F69"/>
    <w:rsid w:val="00BC16A4"/>
    <w:rsid w:val="00BD1EBD"/>
    <w:rsid w:val="00BF6133"/>
    <w:rsid w:val="00BF6C73"/>
    <w:rsid w:val="00C17934"/>
    <w:rsid w:val="00C72AE5"/>
    <w:rsid w:val="00CD428B"/>
    <w:rsid w:val="00CD7AFD"/>
    <w:rsid w:val="00CE4C35"/>
    <w:rsid w:val="00D1001D"/>
    <w:rsid w:val="00D522D8"/>
    <w:rsid w:val="00D95BBB"/>
    <w:rsid w:val="00E23AAE"/>
    <w:rsid w:val="00E34D53"/>
    <w:rsid w:val="00E50847"/>
    <w:rsid w:val="00EE00BD"/>
    <w:rsid w:val="00F2366C"/>
    <w:rsid w:val="00F67F3D"/>
    <w:rsid w:val="00F852B6"/>
    <w:rsid w:val="0B9444A4"/>
    <w:rsid w:val="17332031"/>
    <w:rsid w:val="24EC0A98"/>
    <w:rsid w:val="26A9001A"/>
    <w:rsid w:val="36A8654C"/>
    <w:rsid w:val="3E0A2F1C"/>
    <w:rsid w:val="400075DF"/>
    <w:rsid w:val="415C12DF"/>
    <w:rsid w:val="46A41DF9"/>
    <w:rsid w:val="4E0C0EBD"/>
    <w:rsid w:val="4ECC0AA9"/>
    <w:rsid w:val="50AB2FC1"/>
    <w:rsid w:val="5738256E"/>
    <w:rsid w:val="5E7D2BB7"/>
    <w:rsid w:val="60356D84"/>
    <w:rsid w:val="67F873B4"/>
    <w:rsid w:val="6C82103A"/>
    <w:rsid w:val="72C25D24"/>
    <w:rsid w:val="78301907"/>
    <w:rsid w:val="790900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3">
    <w:name w:val="Balloon Text"/>
    <w:basedOn w:val="1"/>
    <w:link w:val="12"/>
    <w:semiHidden/>
    <w:unhideWhenUsed/>
    <w:qFormat/>
    <w:uiPriority w:val="99"/>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link w:val="13"/>
    <w:qFormat/>
    <w:locked/>
    <w:uiPriority w:val="0"/>
    <w:pPr>
      <w:spacing w:before="240" w:after="60"/>
      <w:jc w:val="center"/>
      <w:outlineLvl w:val="0"/>
    </w:pPr>
    <w:rPr>
      <w:rFonts w:asciiTheme="majorHAnsi" w:hAnsiTheme="majorHAnsi" w:cstheme="majorBidi"/>
      <w:b/>
      <w:bCs/>
      <w:sz w:val="32"/>
      <w:szCs w:val="32"/>
    </w:rPr>
  </w:style>
  <w:style w:type="table" w:styleId="8">
    <w:name w:val="Table Grid"/>
    <w:basedOn w:val="7"/>
    <w:qFormat/>
    <w:locked/>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页脚 Char"/>
    <w:basedOn w:val="9"/>
    <w:link w:val="2"/>
    <w:qFormat/>
    <w:locked/>
    <w:uiPriority w:val="99"/>
    <w:rPr>
      <w:rFonts w:cs="Times New Roman"/>
      <w:sz w:val="18"/>
      <w:szCs w:val="18"/>
    </w:rPr>
  </w:style>
  <w:style w:type="character" w:customStyle="1" w:styleId="11">
    <w:name w:val="页眉 Char"/>
    <w:basedOn w:val="9"/>
    <w:link w:val="4"/>
    <w:qFormat/>
    <w:locked/>
    <w:uiPriority w:val="99"/>
    <w:rPr>
      <w:rFonts w:cs="Times New Roman"/>
      <w:sz w:val="18"/>
      <w:szCs w:val="18"/>
    </w:rPr>
  </w:style>
  <w:style w:type="character" w:customStyle="1" w:styleId="12">
    <w:name w:val="批注框文本 Char"/>
    <w:basedOn w:val="9"/>
    <w:link w:val="3"/>
    <w:semiHidden/>
    <w:qFormat/>
    <w:uiPriority w:val="99"/>
    <w:rPr>
      <w:rFonts w:ascii="Times New Roman" w:hAnsi="Times New Roman"/>
      <w:kern w:val="2"/>
      <w:sz w:val="18"/>
      <w:szCs w:val="18"/>
    </w:rPr>
  </w:style>
  <w:style w:type="character" w:customStyle="1" w:styleId="13">
    <w:name w:val="标题 Char"/>
    <w:basedOn w:val="9"/>
    <w:link w:val="6"/>
    <w:qFormat/>
    <w:uiPriority w:val="0"/>
    <w:rPr>
      <w:rFonts w:asciiTheme="majorHAnsi" w:hAnsiTheme="majorHAnsi" w:cstheme="majorBidi"/>
      <w:b/>
      <w:bCs/>
      <w:kern w:val="2"/>
      <w:sz w:val="32"/>
      <w:szCs w:val="32"/>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245</Words>
  <Characters>1402</Characters>
  <Lines>11</Lines>
  <Paragraphs>3</Paragraphs>
  <TotalTime>2</TotalTime>
  <ScaleCrop>false</ScaleCrop>
  <LinksUpToDate>false</LinksUpToDate>
  <CharactersWithSpaces>1644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2017-08-08T01:32:00Z</dcterms:created>
  <dc:creator>Sky123.Org</dc:creator>
  <cp:lastModifiedBy>Administrator</cp:lastModifiedBy>
  <dcterms:modified xsi:type="dcterms:W3CDTF">2021-05-27T07:51:34Z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